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D5ED" w14:textId="0F2862E3" w:rsidR="00AA315E" w:rsidRPr="00AA315E" w:rsidRDefault="00B04387" w:rsidP="00B04387">
      <w:pPr>
        <w:jc w:val="center"/>
        <w:rPr>
          <w:b/>
          <w:bCs/>
        </w:rPr>
      </w:pPr>
      <w:r w:rsidRPr="00B04387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1F4FE98" wp14:editId="3CCF5E25">
            <wp:simplePos x="0" y="0"/>
            <wp:positionH relativeFrom="column">
              <wp:posOffset>1775460</wp:posOffset>
            </wp:positionH>
            <wp:positionV relativeFrom="paragraph">
              <wp:posOffset>0</wp:posOffset>
            </wp:positionV>
            <wp:extent cx="2438400" cy="822960"/>
            <wp:effectExtent l="0" t="0" r="0" b="0"/>
            <wp:wrapTopAndBottom/>
            <wp:docPr id="730494714" name="Picture 1" descr="A re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494714" name="Picture 1" descr="A red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3E559A8C" w:rsidRPr="003A3530">
        <w:rPr>
          <w:b/>
          <w:bCs/>
        </w:rPr>
        <w:t>TOR</w:t>
      </w:r>
      <w:r w:rsidR="00441CF1" w:rsidRPr="003A3530">
        <w:rPr>
          <w:b/>
          <w:bCs/>
        </w:rPr>
        <w:t xml:space="preserve"> </w:t>
      </w:r>
      <w:r w:rsidR="7B0E94F5" w:rsidRPr="003A3530">
        <w:rPr>
          <w:b/>
          <w:bCs/>
        </w:rPr>
        <w:t xml:space="preserve">to Support the Development of a </w:t>
      </w:r>
      <w:r w:rsidR="00441CF1" w:rsidRPr="003A3530">
        <w:rPr>
          <w:b/>
          <w:bCs/>
        </w:rPr>
        <w:t xml:space="preserve">Learning </w:t>
      </w:r>
      <w:r w:rsidR="3F8DCD08" w:rsidRPr="003A3530">
        <w:rPr>
          <w:b/>
          <w:bCs/>
        </w:rPr>
        <w:t>B</w:t>
      </w:r>
      <w:r w:rsidR="00441CF1" w:rsidRPr="003A3530">
        <w:rPr>
          <w:b/>
          <w:bCs/>
        </w:rPr>
        <w:t xml:space="preserve">rief </w:t>
      </w:r>
      <w:r w:rsidR="006C64A4">
        <w:rPr>
          <w:b/>
          <w:bCs/>
        </w:rPr>
        <w:t>on</w:t>
      </w:r>
      <w:r w:rsidR="00A36B79">
        <w:rPr>
          <w:b/>
          <w:bCs/>
        </w:rPr>
        <w:t>:</w:t>
      </w:r>
    </w:p>
    <w:p w14:paraId="45986860" w14:textId="1B6645F4" w:rsidR="00566747" w:rsidRDefault="00156E31" w:rsidP="00566747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Integrating</w:t>
      </w:r>
      <w:r w:rsidR="00AA315E" w:rsidRPr="07ABFCF0">
        <w:rPr>
          <w:b/>
          <w:bCs/>
          <w:i/>
          <w:iCs/>
        </w:rPr>
        <w:t xml:space="preserve"> a Survivor-Centred Approach to Address GBV</w:t>
      </w:r>
      <w:r w:rsidR="00C942CC">
        <w:rPr>
          <w:b/>
          <w:bCs/>
          <w:i/>
          <w:iCs/>
        </w:rPr>
        <w:t xml:space="preserve"> in Gender Transformative Programming</w:t>
      </w:r>
    </w:p>
    <w:p w14:paraId="35815093" w14:textId="254E3EEA" w:rsidR="00380BED" w:rsidRDefault="00380BED" w:rsidP="00BE06DC">
      <w:pPr>
        <w:jc w:val="center"/>
        <w:rPr>
          <w:b/>
          <w:bCs/>
          <w:color w:val="EE0000"/>
        </w:rPr>
      </w:pPr>
      <w:r w:rsidRPr="00566747">
        <w:rPr>
          <w:b/>
          <w:bCs/>
          <w:color w:val="EE0000"/>
        </w:rPr>
        <w:t>ActionAid Ireland seeks a consultant to support the development of a learning brief in consultation with staff and partners</w:t>
      </w:r>
      <w:r w:rsidR="00566747">
        <w:rPr>
          <w:b/>
          <w:bCs/>
          <w:color w:val="EE0000"/>
        </w:rPr>
        <w:t xml:space="preserve"> in Kenya, Ethiopia and Nepal</w:t>
      </w:r>
      <w:r w:rsidR="00566747" w:rsidRPr="00566747">
        <w:rPr>
          <w:b/>
          <w:bCs/>
          <w:color w:val="EE0000"/>
        </w:rPr>
        <w:t xml:space="preserve">. </w:t>
      </w:r>
    </w:p>
    <w:p w14:paraId="10AC432A" w14:textId="4994381D" w:rsidR="004F3DDA" w:rsidRDefault="004F3DDA" w:rsidP="00BE06DC">
      <w:pPr>
        <w:pBdr>
          <w:bottom w:val="single" w:sz="4" w:space="1" w:color="auto"/>
        </w:pBdr>
      </w:pPr>
      <w:r w:rsidRPr="00BE06DC">
        <w:t xml:space="preserve">Please submit a </w:t>
      </w:r>
      <w:r w:rsidR="007510A3" w:rsidRPr="00BE06DC">
        <w:t>proposal of no more than 3</w:t>
      </w:r>
      <w:r w:rsidR="00C3222C">
        <w:t>-4</w:t>
      </w:r>
      <w:r w:rsidR="007510A3" w:rsidRPr="00BE06DC">
        <w:t xml:space="preserve"> pages outlining your suitability, approach </w:t>
      </w:r>
      <w:r w:rsidR="00D80CDD">
        <w:t>and</w:t>
      </w:r>
      <w:r w:rsidR="00A81517" w:rsidRPr="00BE06DC">
        <w:t xml:space="preserve"> budget</w:t>
      </w:r>
      <w:r w:rsidR="008069E5" w:rsidRPr="00BE06DC">
        <w:t xml:space="preserve"> (no more than €</w:t>
      </w:r>
      <w:r w:rsidR="00326E36">
        <w:t>6</w:t>
      </w:r>
      <w:r w:rsidR="008069E5" w:rsidRPr="00BE06DC">
        <w:t xml:space="preserve">,000) – please note that this consultancy needs to be finalised </w:t>
      </w:r>
      <w:r w:rsidR="00BE06DC" w:rsidRPr="00BE06DC">
        <w:t>in accordance with the timeline outlined in the TOR</w:t>
      </w:r>
    </w:p>
    <w:p w14:paraId="5BBC900E" w14:textId="7983D058" w:rsidR="00326E36" w:rsidRPr="00BE06DC" w:rsidRDefault="00326E36" w:rsidP="00BE06DC">
      <w:pPr>
        <w:pBdr>
          <w:bottom w:val="single" w:sz="4" w:space="1" w:color="auto"/>
        </w:pBdr>
        <w:rPr>
          <w:i/>
          <w:iCs/>
        </w:rPr>
      </w:pPr>
      <w:r>
        <w:t xml:space="preserve">Proposals to be submitted to </w:t>
      </w:r>
      <w:hyperlink r:id="rId10" w:history="1">
        <w:r w:rsidR="00341547" w:rsidRPr="008E3625">
          <w:rPr>
            <w:rStyle w:val="Hyperlink"/>
          </w:rPr>
          <w:t>finola.finnan@action</w:t>
        </w:r>
      </w:hyperlink>
      <w:r w:rsidR="00341547">
        <w:t xml:space="preserve"> by </w:t>
      </w:r>
      <w:r w:rsidR="00C3222C">
        <w:t>October 14, 2025</w:t>
      </w:r>
    </w:p>
    <w:p w14:paraId="41D97960" w14:textId="02C0269B" w:rsidR="00AA315E" w:rsidRPr="00AA315E" w:rsidRDefault="00AA315E" w:rsidP="00AA315E">
      <w:pPr>
        <w:rPr>
          <w:b/>
          <w:bCs/>
        </w:rPr>
      </w:pPr>
      <w:r w:rsidRPr="7ECAF5F8">
        <w:rPr>
          <w:b/>
          <w:bCs/>
        </w:rPr>
        <w:t>1. Background and Rationale</w:t>
      </w:r>
    </w:p>
    <w:p w14:paraId="18027D0B" w14:textId="0F8E0A78" w:rsidR="00E540F0" w:rsidRDefault="00AA315E" w:rsidP="00AA315E">
      <w:r>
        <w:t xml:space="preserve">Gender-based violence remains a pervasive barrier to women’s rights and gender </w:t>
      </w:r>
      <w:r w:rsidR="00EA07CA">
        <w:t>equality and</w:t>
      </w:r>
      <w:r w:rsidR="6A9AE0A0">
        <w:t xml:space="preserve"> is a core focus of ActionAid Ireland’s Women’s Rights Programme</w:t>
      </w:r>
      <w:r w:rsidR="0098173C">
        <w:t xml:space="preserve"> (WRP)</w:t>
      </w:r>
      <w:r w:rsidR="6A9AE0A0">
        <w:t xml:space="preserve"> III</w:t>
      </w:r>
      <w:r w:rsidR="04355E11">
        <w:t xml:space="preserve"> funded by Irish Aid</w:t>
      </w:r>
      <w:r w:rsidR="00D87DCD">
        <w:t xml:space="preserve"> and implemented with women’s rights organisations in Kenya, Ethiopia and Nepal</w:t>
      </w:r>
      <w:r w:rsidR="6A9AE0A0">
        <w:t xml:space="preserve">. </w:t>
      </w:r>
      <w:r>
        <w:t xml:space="preserve"> While </w:t>
      </w:r>
      <w:r w:rsidR="3C2D339C">
        <w:t xml:space="preserve">the WRP has for many years focused on </w:t>
      </w:r>
      <w:r>
        <w:t xml:space="preserve">GBV prevention and </w:t>
      </w:r>
      <w:r w:rsidR="0F2AE7EC">
        <w:t>response</w:t>
      </w:r>
      <w:r w:rsidR="0017484D">
        <w:t xml:space="preserve"> </w:t>
      </w:r>
      <w:r w:rsidR="0F2AE7EC">
        <w:t>using</w:t>
      </w:r>
      <w:r w:rsidR="59918E3E">
        <w:t xml:space="preserve"> a </w:t>
      </w:r>
      <w:r w:rsidR="00563CA9">
        <w:t xml:space="preserve">human rights and </w:t>
      </w:r>
      <w:r w:rsidR="59918E3E">
        <w:t>behavioural change framework</w:t>
      </w:r>
      <w:r w:rsidR="00F62FAB">
        <w:t xml:space="preserve">, the most recent phase has evolved to include </w:t>
      </w:r>
      <w:r w:rsidR="00F83CF7">
        <w:t>a stronger focus</w:t>
      </w:r>
      <w:r w:rsidR="00F62FAB">
        <w:t xml:space="preserve"> on survivor centred approaches </w:t>
      </w:r>
      <w:r w:rsidR="00CC2FF5">
        <w:t xml:space="preserve">and </w:t>
      </w:r>
      <w:r w:rsidR="0050746E">
        <w:t>feminist analysis.</w:t>
      </w:r>
    </w:p>
    <w:p w14:paraId="4A5015CF" w14:textId="2F45462F" w:rsidR="00E540F0" w:rsidRDefault="006D4269" w:rsidP="00AA315E">
      <w:r>
        <w:t>Explicitly,</w:t>
      </w:r>
      <w:r w:rsidR="00C7624E" w:rsidRPr="00C7624E">
        <w:t xml:space="preserve"> </w:t>
      </w:r>
      <w:r w:rsidR="00C7624E">
        <w:t xml:space="preserve">WRPIII (2023-2027), </w:t>
      </w:r>
      <w:r w:rsidR="00EB3348">
        <w:t>seeks to shift power and recognise</w:t>
      </w:r>
      <w:r w:rsidR="009527BB">
        <w:t xml:space="preserve"> survivors as active agents of change</w:t>
      </w:r>
      <w:r w:rsidR="00C5295A">
        <w:t xml:space="preserve">. It also seeks to </w:t>
      </w:r>
      <w:r w:rsidR="009527BB">
        <w:t>ensur</w:t>
      </w:r>
      <w:r w:rsidR="00C5295A">
        <w:t>e that</w:t>
      </w:r>
      <w:r w:rsidR="009527BB">
        <w:t xml:space="preserve"> programmes challenge the systems and norms that enable violence</w:t>
      </w:r>
      <w:r w:rsidR="00EC3D11">
        <w:t xml:space="preserve">, </w:t>
      </w:r>
      <w:r w:rsidR="009527BB">
        <w:t xml:space="preserve">building pathways for collective action and </w:t>
      </w:r>
      <w:r w:rsidR="00EC3D11">
        <w:t xml:space="preserve">advocacy that contribute to </w:t>
      </w:r>
      <w:r w:rsidR="009527BB">
        <w:t>long-term transformation.</w:t>
      </w:r>
      <w:r w:rsidR="00EC3D11">
        <w:t xml:space="preserve"> </w:t>
      </w:r>
    </w:p>
    <w:p w14:paraId="2CA925CB" w14:textId="79A8DB5F" w:rsidR="00D87DCD" w:rsidRPr="003A6184" w:rsidRDefault="00AA315E" w:rsidP="00AA315E">
      <w:r w:rsidRPr="003A6184">
        <w:t xml:space="preserve">This learning brief aims to capture </w:t>
      </w:r>
      <w:r w:rsidR="004C6794">
        <w:t xml:space="preserve">key </w:t>
      </w:r>
      <w:r w:rsidRPr="003A6184">
        <w:t xml:space="preserve">lessons and insights from applying </w:t>
      </w:r>
      <w:r w:rsidR="00611D02">
        <w:t>a survivor centred approach i</w:t>
      </w:r>
      <w:r w:rsidRPr="003A6184">
        <w:t xml:space="preserve">n </w:t>
      </w:r>
      <w:r w:rsidR="00CD6C1E">
        <w:t>WRP III</w:t>
      </w:r>
      <w:r w:rsidR="007502A0">
        <w:t xml:space="preserve">’s </w:t>
      </w:r>
      <w:r w:rsidRPr="003A6184">
        <w:t>programming, highlighting both successes and challenges in ensuring survivors’ dignity, agency and rights while addressing harmful norms and power relations.</w:t>
      </w:r>
      <w:r w:rsidR="0038500A">
        <w:t xml:space="preserve"> </w:t>
      </w:r>
    </w:p>
    <w:p w14:paraId="08888577" w14:textId="77777777" w:rsidR="00AA315E" w:rsidRPr="00AA315E" w:rsidRDefault="00AA315E" w:rsidP="00AA315E">
      <w:pPr>
        <w:rPr>
          <w:b/>
          <w:bCs/>
        </w:rPr>
      </w:pPr>
      <w:r w:rsidRPr="7ECAF5F8">
        <w:rPr>
          <w:b/>
          <w:bCs/>
        </w:rPr>
        <w:t>2. Objectives of the Learning Brief</w:t>
      </w:r>
    </w:p>
    <w:p w14:paraId="612F0172" w14:textId="7C947696" w:rsidR="00F75B95" w:rsidRDefault="001B1BBA" w:rsidP="00185379">
      <w:pPr>
        <w:numPr>
          <w:ilvl w:val="0"/>
          <w:numId w:val="7"/>
        </w:numPr>
        <w:spacing w:after="0"/>
      </w:pPr>
      <w:r>
        <w:t>To establish what is understood by a survivor</w:t>
      </w:r>
      <w:r w:rsidR="00F75B95">
        <w:t>-</w:t>
      </w:r>
      <w:r>
        <w:t>centred</w:t>
      </w:r>
      <w:r w:rsidR="002F445F">
        <w:t>, survivor-</w:t>
      </w:r>
      <w:r w:rsidR="00F75B95">
        <w:t>led</w:t>
      </w:r>
      <w:r>
        <w:t xml:space="preserve"> </w:t>
      </w:r>
      <w:r w:rsidR="00F75B95">
        <w:t xml:space="preserve">approach within the </w:t>
      </w:r>
      <w:r w:rsidR="00682BD8">
        <w:t xml:space="preserve">Women’s Rights Programme (WRP) </w:t>
      </w:r>
      <w:r w:rsidR="00ED7E84">
        <w:t>III</w:t>
      </w:r>
      <w:r w:rsidR="00F75B95">
        <w:t xml:space="preserve"> programme</w:t>
      </w:r>
      <w:r w:rsidR="00F974A3">
        <w:t>.</w:t>
      </w:r>
    </w:p>
    <w:p w14:paraId="7874E3BE" w14:textId="29DF4352" w:rsidR="00AA315E" w:rsidRPr="006A4712" w:rsidRDefault="00F75B95" w:rsidP="007D742C">
      <w:pPr>
        <w:numPr>
          <w:ilvl w:val="0"/>
          <w:numId w:val="7"/>
        </w:numPr>
        <w:spacing w:after="0"/>
      </w:pPr>
      <w:r w:rsidRPr="006A4712">
        <w:t>To d</w:t>
      </w:r>
      <w:r w:rsidR="00AA315E" w:rsidRPr="006A4712">
        <w:t>ocument practical experiences of applying a survivor-centred approach</w:t>
      </w:r>
      <w:r w:rsidR="00F45612" w:rsidRPr="006A4712">
        <w:t xml:space="preserve"> in WRP III as part of </w:t>
      </w:r>
      <w:r w:rsidR="009B74F6">
        <w:t>a Gender Transformative Approach</w:t>
      </w:r>
      <w:r w:rsidR="007D742C">
        <w:t xml:space="preserve"> and assess if and how </w:t>
      </w:r>
      <w:r w:rsidR="00F9787E" w:rsidRPr="006A4712">
        <w:t xml:space="preserve">it contributes </w:t>
      </w:r>
      <w:r w:rsidR="005C6A47">
        <w:t xml:space="preserve">to </w:t>
      </w:r>
      <w:r w:rsidR="00192E0A" w:rsidRPr="006A4712">
        <w:t>gender transformation in the programme</w:t>
      </w:r>
      <w:r w:rsidR="005C6A47">
        <w:t>.</w:t>
      </w:r>
      <w:r w:rsidR="00192E0A" w:rsidRPr="006A4712">
        <w:t xml:space="preserve"> </w:t>
      </w:r>
    </w:p>
    <w:p w14:paraId="3751F519" w14:textId="44745569" w:rsidR="00AA315E" w:rsidRPr="00185379" w:rsidRDefault="000B3DD2" w:rsidP="00185379">
      <w:pPr>
        <w:numPr>
          <w:ilvl w:val="0"/>
          <w:numId w:val="7"/>
        </w:numPr>
        <w:spacing w:after="0"/>
      </w:pPr>
      <w:r>
        <w:lastRenderedPageBreak/>
        <w:t>To i</w:t>
      </w:r>
      <w:r w:rsidR="00AA315E" w:rsidRPr="00185379">
        <w:t>dentify key lessons, challenges</w:t>
      </w:r>
      <w:r w:rsidR="0069517E">
        <w:t xml:space="preserve"> </w:t>
      </w:r>
      <w:r w:rsidR="00AA315E" w:rsidRPr="00185379">
        <w:t xml:space="preserve">and promising practices </w:t>
      </w:r>
      <w:r w:rsidR="00ED7E84">
        <w:t>within the programme</w:t>
      </w:r>
      <w:r w:rsidR="003A0A4C">
        <w:t xml:space="preserve"> </w:t>
      </w:r>
      <w:r w:rsidR="00AA315E" w:rsidRPr="00185379">
        <w:t>in ensuring survivor safety, dignity</w:t>
      </w:r>
      <w:r w:rsidR="0069517E">
        <w:t xml:space="preserve"> </w:t>
      </w:r>
      <w:r w:rsidR="00AA315E" w:rsidRPr="00185379">
        <w:t>and empowerment</w:t>
      </w:r>
      <w:r w:rsidR="00F974A3">
        <w:t>.</w:t>
      </w:r>
    </w:p>
    <w:p w14:paraId="3B718B8C" w14:textId="7A2A3C6C" w:rsidR="0039492A" w:rsidRDefault="0015562C" w:rsidP="0039492A">
      <w:pPr>
        <w:numPr>
          <w:ilvl w:val="0"/>
          <w:numId w:val="7"/>
        </w:numPr>
        <w:spacing w:after="0"/>
      </w:pPr>
      <w:r>
        <w:t>To p</w:t>
      </w:r>
      <w:r w:rsidR="00AA315E" w:rsidRPr="00185379">
        <w:t xml:space="preserve">rovide actionable recommendations to strengthen </w:t>
      </w:r>
      <w:r w:rsidR="003B15D4">
        <w:t>future programme design and advocacy</w:t>
      </w:r>
      <w:r w:rsidR="009D623B">
        <w:t xml:space="preserve">. </w:t>
      </w:r>
    </w:p>
    <w:p w14:paraId="71067853" w14:textId="77777777" w:rsidR="0015562C" w:rsidRPr="00185379" w:rsidRDefault="0015562C" w:rsidP="0015562C">
      <w:pPr>
        <w:spacing w:after="0"/>
        <w:ind w:left="720"/>
      </w:pPr>
    </w:p>
    <w:p w14:paraId="20ABDF4F" w14:textId="34688EE1" w:rsidR="00AA315E" w:rsidRDefault="00AA315E" w:rsidP="00AA315E">
      <w:pPr>
        <w:rPr>
          <w:b/>
          <w:bCs/>
        </w:rPr>
      </w:pPr>
      <w:r w:rsidRPr="1128F45C">
        <w:rPr>
          <w:b/>
          <w:bCs/>
        </w:rPr>
        <w:t>3. Key Areas of Focus</w:t>
      </w:r>
      <w:r w:rsidR="00DF70CF">
        <w:rPr>
          <w:b/>
          <w:bCs/>
        </w:rPr>
        <w:t xml:space="preserve"> and </w:t>
      </w:r>
      <w:r w:rsidR="00A27DA0">
        <w:rPr>
          <w:b/>
          <w:bCs/>
        </w:rPr>
        <w:t xml:space="preserve">Possible </w:t>
      </w:r>
      <w:r w:rsidR="00DF70CF">
        <w:rPr>
          <w:b/>
          <w:bCs/>
        </w:rPr>
        <w:t xml:space="preserve">Questions </w:t>
      </w:r>
      <w:r w:rsidR="005D5A64">
        <w:rPr>
          <w:b/>
          <w:bCs/>
        </w:rPr>
        <w:t>(to be agreed with the consultant)</w:t>
      </w:r>
    </w:p>
    <w:p w14:paraId="7CA299E9" w14:textId="77777777" w:rsidR="00AA315E" w:rsidRPr="00DD02FC" w:rsidRDefault="00AA315E" w:rsidP="0039492A">
      <w:pPr>
        <w:spacing w:after="0"/>
        <w:rPr>
          <w:b/>
          <w:bCs/>
        </w:rPr>
      </w:pPr>
      <w:r w:rsidRPr="00DD02FC">
        <w:rPr>
          <w:b/>
          <w:bCs/>
        </w:rPr>
        <w:t>A. Linkages with the Gender Transformative Approach (GTA)</w:t>
      </w:r>
    </w:p>
    <w:p w14:paraId="04F7730A" w14:textId="0AD629AE" w:rsidR="00AA315E" w:rsidRPr="0039492A" w:rsidRDefault="00AA315E" w:rsidP="0039492A">
      <w:pPr>
        <w:numPr>
          <w:ilvl w:val="0"/>
          <w:numId w:val="8"/>
        </w:numPr>
        <w:spacing w:after="0"/>
      </w:pPr>
      <w:r w:rsidRPr="0039492A">
        <w:t>How does applying a survivor-centred approach strengthen gender-transformative programming?</w:t>
      </w:r>
    </w:p>
    <w:p w14:paraId="2404EF9F" w14:textId="5AC44482" w:rsidR="00AA315E" w:rsidRPr="0039492A" w:rsidRDefault="00AA315E" w:rsidP="0039492A">
      <w:pPr>
        <w:numPr>
          <w:ilvl w:val="0"/>
          <w:numId w:val="8"/>
        </w:numPr>
        <w:spacing w:after="0"/>
      </w:pPr>
      <w:r w:rsidRPr="0039492A">
        <w:t xml:space="preserve">In what ways does </w:t>
      </w:r>
      <w:r w:rsidR="00515750">
        <w:t xml:space="preserve">a </w:t>
      </w:r>
      <w:r w:rsidRPr="0039492A">
        <w:t>survivor</w:t>
      </w:r>
      <w:r w:rsidR="00930375">
        <w:t xml:space="preserve"> centred approach </w:t>
      </w:r>
      <w:r w:rsidRPr="0039492A">
        <w:t>help shift harmful power relations and norms in communities?</w:t>
      </w:r>
    </w:p>
    <w:p w14:paraId="2D5CCD70" w14:textId="77777777" w:rsidR="00930375" w:rsidRPr="0039492A" w:rsidRDefault="00930375" w:rsidP="00930375">
      <w:pPr>
        <w:spacing w:after="0"/>
        <w:ind w:left="720"/>
      </w:pPr>
    </w:p>
    <w:p w14:paraId="22C5B02B" w14:textId="77777777" w:rsidR="00AA315E" w:rsidRPr="00DD02FC" w:rsidRDefault="00AA315E" w:rsidP="0039492A">
      <w:pPr>
        <w:spacing w:after="0"/>
        <w:rPr>
          <w:b/>
          <w:bCs/>
        </w:rPr>
      </w:pPr>
      <w:r w:rsidRPr="00DD02FC">
        <w:rPr>
          <w:b/>
          <w:bCs/>
        </w:rPr>
        <w:t>B. Practical Application of the Survivor-Centred Approach (SCA)</w:t>
      </w:r>
    </w:p>
    <w:p w14:paraId="150421D6" w14:textId="7F49FC63" w:rsidR="00AA315E" w:rsidRPr="0039492A" w:rsidRDefault="00FB5662" w:rsidP="0039492A">
      <w:pPr>
        <w:numPr>
          <w:ilvl w:val="0"/>
          <w:numId w:val="9"/>
        </w:numPr>
        <w:spacing w:after="0"/>
      </w:pPr>
      <w:r w:rsidRPr="0039492A">
        <w:t xml:space="preserve">How </w:t>
      </w:r>
      <w:r>
        <w:t>is</w:t>
      </w:r>
      <w:r w:rsidR="00A27DA0">
        <w:t xml:space="preserve"> a</w:t>
      </w:r>
      <w:r w:rsidR="00AA315E" w:rsidRPr="0039492A">
        <w:t xml:space="preserve"> survivor-centred approach applied </w:t>
      </w:r>
      <w:r w:rsidR="003F0718">
        <w:t>in the programme?</w:t>
      </w:r>
    </w:p>
    <w:p w14:paraId="6CFC14AC" w14:textId="58E36996" w:rsidR="00930375" w:rsidRDefault="00AA315E" w:rsidP="00A13F58">
      <w:pPr>
        <w:numPr>
          <w:ilvl w:val="0"/>
          <w:numId w:val="9"/>
        </w:numPr>
        <w:spacing w:after="0"/>
      </w:pPr>
      <w:r w:rsidRPr="0039492A">
        <w:t xml:space="preserve">What methods, or strategies were most effective in ensuring dignity, safety, and agency of </w:t>
      </w:r>
      <w:r w:rsidR="000729DB" w:rsidRPr="0039492A">
        <w:t>survivors</w:t>
      </w:r>
      <w:r w:rsidR="000729DB">
        <w:t>?</w:t>
      </w:r>
    </w:p>
    <w:p w14:paraId="43E455EA" w14:textId="44338A1E" w:rsidR="00A13F58" w:rsidRDefault="00A13F58" w:rsidP="00A13F58">
      <w:pPr>
        <w:numPr>
          <w:ilvl w:val="0"/>
          <w:numId w:val="9"/>
        </w:numPr>
        <w:spacing w:after="0"/>
      </w:pPr>
      <w:r>
        <w:t xml:space="preserve">What </w:t>
      </w:r>
      <w:r w:rsidR="000729DB">
        <w:t>were</w:t>
      </w:r>
      <w:r>
        <w:t xml:space="preserve"> the core challenges</w:t>
      </w:r>
      <w:r w:rsidR="00A324F1">
        <w:t xml:space="preserve"> and gaps</w:t>
      </w:r>
      <w:r>
        <w:t>?</w:t>
      </w:r>
    </w:p>
    <w:p w14:paraId="2B7CC997" w14:textId="77777777" w:rsidR="00A13F58" w:rsidRDefault="00A13F58" w:rsidP="00A13F58">
      <w:pPr>
        <w:spacing w:after="0"/>
        <w:ind w:left="720"/>
      </w:pPr>
    </w:p>
    <w:p w14:paraId="30056F8F" w14:textId="32DCE98C" w:rsidR="00AA315E" w:rsidRPr="00DD02FC" w:rsidRDefault="00AC72C6" w:rsidP="00DD02FC">
      <w:pPr>
        <w:spacing w:after="0"/>
        <w:rPr>
          <w:b/>
          <w:bCs/>
        </w:rPr>
      </w:pPr>
      <w:r w:rsidRPr="00DD02FC">
        <w:rPr>
          <w:b/>
          <w:bCs/>
        </w:rPr>
        <w:t xml:space="preserve"> </w:t>
      </w:r>
      <w:r w:rsidR="00AA315E" w:rsidRPr="00DD02FC">
        <w:rPr>
          <w:b/>
          <w:bCs/>
        </w:rPr>
        <w:t>C. Community-led and Survivor-led Learnings</w:t>
      </w:r>
    </w:p>
    <w:p w14:paraId="5B959BD6" w14:textId="7D128615" w:rsidR="00AA315E" w:rsidRPr="0039492A" w:rsidRDefault="00AA315E" w:rsidP="0039492A">
      <w:pPr>
        <w:numPr>
          <w:ilvl w:val="0"/>
          <w:numId w:val="10"/>
        </w:numPr>
        <w:spacing w:after="0"/>
      </w:pPr>
      <w:r w:rsidRPr="0039492A">
        <w:t>How have communities</w:t>
      </w:r>
      <w:r w:rsidR="008D1595">
        <w:t xml:space="preserve"> </w:t>
      </w:r>
      <w:r w:rsidRPr="0039492A">
        <w:t>taken ownership in advancing survivor-centred responses?</w:t>
      </w:r>
    </w:p>
    <w:p w14:paraId="6F19D006" w14:textId="43D6E126" w:rsidR="002B1876" w:rsidRDefault="00AA315E" w:rsidP="002B1876">
      <w:pPr>
        <w:numPr>
          <w:ilvl w:val="0"/>
          <w:numId w:val="10"/>
        </w:numPr>
        <w:spacing w:after="0"/>
      </w:pPr>
      <w:r w:rsidRPr="0039492A">
        <w:t>What examples show survivors leading change, advocacy, or peer support in their communities?</w:t>
      </w:r>
    </w:p>
    <w:p w14:paraId="276D6B86" w14:textId="77777777" w:rsidR="00C46316" w:rsidRDefault="00C46316" w:rsidP="00C46316">
      <w:pPr>
        <w:spacing w:after="0"/>
      </w:pPr>
    </w:p>
    <w:p w14:paraId="23946391" w14:textId="39B22E00" w:rsidR="00C46316" w:rsidRPr="00C46316" w:rsidRDefault="00C46316" w:rsidP="00C46316">
      <w:pPr>
        <w:spacing w:after="0"/>
        <w:rPr>
          <w:b/>
          <w:bCs/>
        </w:rPr>
      </w:pPr>
      <w:r w:rsidRPr="00C46316">
        <w:rPr>
          <w:b/>
          <w:bCs/>
        </w:rPr>
        <w:t>4. Methodology</w:t>
      </w:r>
    </w:p>
    <w:p w14:paraId="263B16A4" w14:textId="57E031E6" w:rsidR="003304B5" w:rsidRDefault="003304B5" w:rsidP="0039492A">
      <w:pPr>
        <w:spacing w:after="0"/>
        <w:rPr>
          <w:rFonts w:cs="Segoe UI Emoji"/>
        </w:rPr>
      </w:pPr>
      <w:r>
        <w:rPr>
          <w:rFonts w:cs="Segoe UI Emoji"/>
        </w:rPr>
        <w:t xml:space="preserve">A methodology will be agreed in consultation with the consultant. It will need to take </w:t>
      </w:r>
      <w:r w:rsidR="00AC7631">
        <w:rPr>
          <w:rFonts w:cs="Segoe UI Emoji"/>
        </w:rPr>
        <w:t xml:space="preserve">account of </w:t>
      </w:r>
      <w:r w:rsidR="00FD0F36">
        <w:rPr>
          <w:rFonts w:cs="Segoe UI Emoji"/>
        </w:rPr>
        <w:t xml:space="preserve">do no harm principles and the safety of the interviewees. </w:t>
      </w:r>
      <w:r w:rsidR="00D24A3E">
        <w:rPr>
          <w:rFonts w:cs="Segoe UI Emoji"/>
        </w:rPr>
        <w:t>It is expected that the</w:t>
      </w:r>
      <w:r w:rsidR="009B3E29">
        <w:rPr>
          <w:rFonts w:cs="Segoe UI Emoji"/>
        </w:rPr>
        <w:t xml:space="preserve"> country teams will support the data collection in country and/or hire a resource with the required expertise to support the data collection</w:t>
      </w:r>
      <w:r w:rsidR="004A4C06">
        <w:rPr>
          <w:rFonts w:cs="Segoe UI Emoji"/>
        </w:rPr>
        <w:t xml:space="preserve"> from survivors</w:t>
      </w:r>
      <w:r w:rsidR="007167BA">
        <w:rPr>
          <w:rFonts w:cs="Segoe UI Emoji"/>
        </w:rPr>
        <w:t xml:space="preserve"> as necessary</w:t>
      </w:r>
      <w:r w:rsidR="009B3E29">
        <w:rPr>
          <w:rFonts w:cs="Segoe UI Emoji"/>
        </w:rPr>
        <w:t xml:space="preserve">. </w:t>
      </w:r>
    </w:p>
    <w:p w14:paraId="11AE4EC1" w14:textId="77777777" w:rsidR="003304B5" w:rsidRDefault="003304B5" w:rsidP="0039492A">
      <w:pPr>
        <w:spacing w:after="0"/>
        <w:rPr>
          <w:rFonts w:cs="Segoe UI Emoji"/>
        </w:rPr>
      </w:pPr>
    </w:p>
    <w:p w14:paraId="78205EB3" w14:textId="77777777" w:rsidR="007B3BB1" w:rsidRDefault="00A13F58" w:rsidP="0039492A">
      <w:pPr>
        <w:spacing w:after="0"/>
        <w:rPr>
          <w:rFonts w:cs="Segoe UI Emoji"/>
        </w:rPr>
      </w:pPr>
      <w:r w:rsidRPr="00461EC5">
        <w:rPr>
          <w:rFonts w:cs="Segoe UI Emoji"/>
        </w:rPr>
        <w:t xml:space="preserve">Interviews will be held </w:t>
      </w:r>
      <w:r w:rsidRPr="00EC1612">
        <w:rPr>
          <w:rFonts w:cs="Segoe UI Emoji"/>
        </w:rPr>
        <w:t>with programme staff and partners</w:t>
      </w:r>
      <w:r w:rsidR="00F417C7" w:rsidRPr="00EC1612">
        <w:rPr>
          <w:rFonts w:cs="Segoe UI Emoji"/>
        </w:rPr>
        <w:t xml:space="preserve">. In addition, teams in country will be supported to gather information from survivors, </w:t>
      </w:r>
      <w:r w:rsidR="0009113D" w:rsidRPr="00EC1612">
        <w:rPr>
          <w:rFonts w:cs="Segoe UI Emoji"/>
        </w:rPr>
        <w:t>community</w:t>
      </w:r>
      <w:r w:rsidR="0009113D" w:rsidRPr="00461EC5">
        <w:rPr>
          <w:rFonts w:cs="Segoe UI Emoji"/>
        </w:rPr>
        <w:t xml:space="preserve"> groups </w:t>
      </w:r>
      <w:r w:rsidR="00652453">
        <w:rPr>
          <w:rFonts w:cs="Segoe UI Emoji"/>
        </w:rPr>
        <w:t>(</w:t>
      </w:r>
      <w:r w:rsidR="00201C13">
        <w:rPr>
          <w:rFonts w:cs="Segoe UI Emoji"/>
        </w:rPr>
        <w:t>and other stakeholders if practical</w:t>
      </w:r>
      <w:r w:rsidR="00652453">
        <w:rPr>
          <w:rFonts w:cs="Segoe UI Emoji"/>
        </w:rPr>
        <w:t>)</w:t>
      </w:r>
      <w:r w:rsidR="00E534EA">
        <w:rPr>
          <w:rFonts w:cs="Segoe UI Emoji"/>
        </w:rPr>
        <w:t xml:space="preserve"> </w:t>
      </w:r>
      <w:r w:rsidR="00C93E02" w:rsidRPr="00461EC5">
        <w:rPr>
          <w:rFonts w:cs="Segoe UI Emoji"/>
        </w:rPr>
        <w:t xml:space="preserve">to support </w:t>
      </w:r>
      <w:r w:rsidR="006A7670" w:rsidRPr="00461EC5">
        <w:rPr>
          <w:rFonts w:cs="Segoe UI Emoji"/>
        </w:rPr>
        <w:t>understanding of the core areas of focus</w:t>
      </w:r>
      <w:r w:rsidR="00C93E02" w:rsidRPr="00461EC5">
        <w:rPr>
          <w:rFonts w:cs="Segoe UI Emoji"/>
        </w:rPr>
        <w:t>.</w:t>
      </w:r>
      <w:r w:rsidR="005A75CD" w:rsidRPr="00461EC5">
        <w:rPr>
          <w:rFonts w:cs="Segoe UI Emoji"/>
        </w:rPr>
        <w:t xml:space="preserve"> </w:t>
      </w:r>
    </w:p>
    <w:p w14:paraId="7341527A" w14:textId="3C560381" w:rsidR="00A13F58" w:rsidRPr="00461EC5" w:rsidRDefault="005A75CD" w:rsidP="0039492A">
      <w:pPr>
        <w:spacing w:after="0"/>
        <w:rPr>
          <w:rFonts w:cs="Segoe UI Emoji"/>
        </w:rPr>
      </w:pPr>
      <w:r w:rsidRPr="00461EC5">
        <w:rPr>
          <w:rFonts w:cs="Segoe UI Emoji"/>
        </w:rPr>
        <w:t xml:space="preserve">This will not be extensive given time and cost limitations but </w:t>
      </w:r>
      <w:r w:rsidR="007B3BB1">
        <w:rPr>
          <w:rFonts w:cs="Segoe UI Emoji"/>
        </w:rPr>
        <w:t xml:space="preserve">is </w:t>
      </w:r>
      <w:r w:rsidR="00461EC5" w:rsidRPr="00461EC5">
        <w:rPr>
          <w:rFonts w:cs="Segoe UI Emoji"/>
        </w:rPr>
        <w:t>likely</w:t>
      </w:r>
      <w:r w:rsidR="00D944D7" w:rsidRPr="00461EC5">
        <w:rPr>
          <w:rFonts w:cs="Segoe UI Emoji"/>
        </w:rPr>
        <w:t xml:space="preserve"> to</w:t>
      </w:r>
      <w:r w:rsidR="00BC0198" w:rsidRPr="00461EC5">
        <w:rPr>
          <w:rFonts w:cs="Segoe UI Emoji"/>
        </w:rPr>
        <w:t xml:space="preserve"> include:</w:t>
      </w:r>
    </w:p>
    <w:p w14:paraId="21CABAC8" w14:textId="22387B24" w:rsidR="00AA315E" w:rsidRPr="00EC1612" w:rsidRDefault="00AA315E" w:rsidP="00BC0198">
      <w:pPr>
        <w:pStyle w:val="ListParagraph"/>
        <w:numPr>
          <w:ilvl w:val="0"/>
          <w:numId w:val="22"/>
        </w:numPr>
        <w:spacing w:after="0"/>
      </w:pPr>
      <w:r w:rsidRPr="00EC1612">
        <w:t>Survivors</w:t>
      </w:r>
      <w:r w:rsidR="00D944D7" w:rsidRPr="00EC1612">
        <w:t xml:space="preserve">’ </w:t>
      </w:r>
      <w:r w:rsidRPr="00EC1612">
        <w:t xml:space="preserve">experiences </w:t>
      </w:r>
      <w:r w:rsidR="00B84540" w:rsidRPr="00EC1612">
        <w:t>of</w:t>
      </w:r>
      <w:r w:rsidRPr="00EC1612">
        <w:t xml:space="preserve"> support services</w:t>
      </w:r>
      <w:r w:rsidR="00F8071C" w:rsidRPr="00EC1612">
        <w:t xml:space="preserve"> and perceptions </w:t>
      </w:r>
      <w:r w:rsidR="000229F5" w:rsidRPr="00EC1612">
        <w:t>of</w:t>
      </w:r>
      <w:r w:rsidRPr="00EC1612">
        <w:t xml:space="preserve"> </w:t>
      </w:r>
      <w:r w:rsidR="00F8071C" w:rsidRPr="00EC1612">
        <w:t xml:space="preserve">agency, </w:t>
      </w:r>
      <w:r w:rsidRPr="00EC1612">
        <w:t>dignity and safety.</w:t>
      </w:r>
    </w:p>
    <w:p w14:paraId="796C42B3" w14:textId="468C4DC0" w:rsidR="00AA315E" w:rsidRPr="0039492A" w:rsidRDefault="00AA315E" w:rsidP="0039492A">
      <w:pPr>
        <w:numPr>
          <w:ilvl w:val="0"/>
          <w:numId w:val="11"/>
        </w:numPr>
        <w:spacing w:after="0"/>
      </w:pPr>
      <w:r w:rsidRPr="0039492A">
        <w:t xml:space="preserve">Community </w:t>
      </w:r>
      <w:r w:rsidR="00B84540" w:rsidRPr="0039492A">
        <w:t>groups</w:t>
      </w:r>
      <w:r w:rsidR="00780637">
        <w:t>’</w:t>
      </w:r>
      <w:r w:rsidR="00B84540" w:rsidRPr="0039492A">
        <w:t xml:space="preserve"> </w:t>
      </w:r>
      <w:r w:rsidR="00B84540">
        <w:t>role</w:t>
      </w:r>
      <w:r w:rsidR="00D944D7">
        <w:t xml:space="preserve"> in</w:t>
      </w:r>
      <w:r w:rsidRPr="0039492A">
        <w:t xml:space="preserve"> collective action</w:t>
      </w:r>
      <w:r w:rsidR="0038312D">
        <w:t xml:space="preserve"> </w:t>
      </w:r>
      <w:r w:rsidR="003977E2">
        <w:t>in support of</w:t>
      </w:r>
      <w:r w:rsidR="00915A14">
        <w:t xml:space="preserve"> </w:t>
      </w:r>
      <w:r w:rsidR="00893026" w:rsidRPr="00E31F98">
        <w:t>survivor-centred approaches</w:t>
      </w:r>
      <w:r w:rsidR="00893026">
        <w:t>.</w:t>
      </w:r>
    </w:p>
    <w:p w14:paraId="46825AC1" w14:textId="4AD13E95" w:rsidR="00141541" w:rsidRDefault="00AA315E" w:rsidP="00141541">
      <w:pPr>
        <w:numPr>
          <w:ilvl w:val="0"/>
          <w:numId w:val="11"/>
        </w:numPr>
        <w:spacing w:after="0"/>
      </w:pPr>
      <w:r w:rsidRPr="0039492A">
        <w:lastRenderedPageBreak/>
        <w:t>Stakeholder</w:t>
      </w:r>
      <w:r w:rsidR="00F83F45">
        <w:t>s</w:t>
      </w:r>
      <w:r w:rsidR="00461EC5">
        <w:t>’</w:t>
      </w:r>
      <w:r w:rsidR="00F83F45">
        <w:t xml:space="preserve"> </w:t>
      </w:r>
      <w:r w:rsidR="006A7670">
        <w:t xml:space="preserve">policy and practice </w:t>
      </w:r>
      <w:r w:rsidR="003977E2">
        <w:t xml:space="preserve">changes </w:t>
      </w:r>
      <w:r w:rsidR="006A7670">
        <w:t xml:space="preserve">in support of survivor centred </w:t>
      </w:r>
      <w:r w:rsidR="003977E2">
        <w:t>programming within a gender transformative approach.</w:t>
      </w:r>
      <w:r w:rsidR="00E534EA">
        <w:t xml:space="preserve"> (may be gathered from documentation or </w:t>
      </w:r>
      <w:r w:rsidR="00B44725">
        <w:t>staff interviews)</w:t>
      </w:r>
      <w:r w:rsidR="007B3BB1">
        <w:t>.</w:t>
      </w:r>
    </w:p>
    <w:p w14:paraId="78870250" w14:textId="77777777" w:rsidR="006A7670" w:rsidRPr="0039492A" w:rsidRDefault="006A7670" w:rsidP="006A7670">
      <w:pPr>
        <w:spacing w:after="0"/>
        <w:ind w:left="720"/>
      </w:pPr>
    </w:p>
    <w:p w14:paraId="61D5AAF9" w14:textId="05415B61" w:rsidR="00AA315E" w:rsidRPr="00B27BF8" w:rsidRDefault="00B44725" w:rsidP="00AA315E">
      <w:pPr>
        <w:rPr>
          <w:szCs w:val="22"/>
        </w:rPr>
      </w:pPr>
      <w:r>
        <w:rPr>
          <w:b/>
          <w:bCs/>
        </w:rPr>
        <w:t xml:space="preserve">Proposed </w:t>
      </w:r>
      <w:r w:rsidR="00201C13">
        <w:rPr>
          <w:b/>
          <w:bCs/>
        </w:rPr>
        <w:t>Outline –</w:t>
      </w:r>
      <w:r w:rsidR="000E65A4">
        <w:rPr>
          <w:b/>
          <w:bCs/>
        </w:rPr>
        <w:t xml:space="preserve"> 1</w:t>
      </w:r>
      <w:r w:rsidR="0099192E">
        <w:rPr>
          <w:b/>
          <w:bCs/>
        </w:rPr>
        <w:t>2</w:t>
      </w:r>
      <w:r w:rsidR="000E65A4">
        <w:rPr>
          <w:b/>
          <w:bCs/>
        </w:rPr>
        <w:t xml:space="preserve"> days </w:t>
      </w:r>
      <w:r w:rsidR="00E26848">
        <w:rPr>
          <w:b/>
          <w:bCs/>
        </w:rPr>
        <w:t xml:space="preserve">maximum and budget of no more than </w:t>
      </w:r>
      <w:r w:rsidR="00346B98">
        <w:rPr>
          <w:b/>
          <w:bCs/>
        </w:rPr>
        <w:t xml:space="preserve">a total of </w:t>
      </w:r>
      <w:r w:rsidR="00E26848">
        <w:rPr>
          <w:b/>
          <w:bCs/>
        </w:rPr>
        <w:t>€</w:t>
      </w:r>
      <w:r w:rsidR="0099192E">
        <w:rPr>
          <w:b/>
          <w:bCs/>
        </w:rPr>
        <w:t>6</w:t>
      </w:r>
      <w:r w:rsidR="00E26848">
        <w:rPr>
          <w:b/>
          <w:bCs/>
        </w:rPr>
        <w:t xml:space="preserve">,000 </w:t>
      </w:r>
      <w:r w:rsidR="00B27BF8" w:rsidRPr="00B27BF8">
        <w:rPr>
          <w:i/>
          <w:iCs/>
        </w:rPr>
        <w:t>(</w:t>
      </w:r>
      <w:r w:rsidR="00B27BF8" w:rsidRPr="00B27BF8">
        <w:rPr>
          <w:szCs w:val="22"/>
        </w:rPr>
        <w:t xml:space="preserve">the timeline relates to the </w:t>
      </w:r>
      <w:r w:rsidR="007B3BB1" w:rsidRPr="00B27BF8">
        <w:rPr>
          <w:szCs w:val="22"/>
        </w:rPr>
        <w:t>consultant’s</w:t>
      </w:r>
      <w:r w:rsidR="00B27BF8" w:rsidRPr="00B27BF8">
        <w:rPr>
          <w:szCs w:val="22"/>
        </w:rPr>
        <w:t xml:space="preserve"> time on the understanding that teams in country are engaged)</w:t>
      </w:r>
      <w:r w:rsidR="00453B99">
        <w:rPr>
          <w:szCs w:val="22"/>
        </w:rPr>
        <w:t>. All times are approximate and will be considered in the expression of interest.</w:t>
      </w:r>
    </w:p>
    <w:p w14:paraId="5D0CFE81" w14:textId="09BECF27" w:rsidR="00AA315E" w:rsidRPr="0039492A" w:rsidRDefault="00AA315E" w:rsidP="0039492A">
      <w:pPr>
        <w:numPr>
          <w:ilvl w:val="0"/>
          <w:numId w:val="12"/>
        </w:numPr>
        <w:spacing w:after="0"/>
      </w:pPr>
      <w:r w:rsidRPr="0039492A">
        <w:t>Desk Review: Relevant program documents, case studies</w:t>
      </w:r>
      <w:r w:rsidR="001B2B3C">
        <w:t xml:space="preserve"> </w:t>
      </w:r>
      <w:r w:rsidRPr="0039492A">
        <w:t xml:space="preserve">and </w:t>
      </w:r>
      <w:r w:rsidR="001B2B3C">
        <w:t>country</w:t>
      </w:r>
      <w:r w:rsidR="008473DC">
        <w:t>/partner</w:t>
      </w:r>
      <w:r w:rsidRPr="0039492A">
        <w:t xml:space="preserve"> reports.</w:t>
      </w:r>
      <w:r w:rsidR="0038500A">
        <w:t xml:space="preserve"> (</w:t>
      </w:r>
      <w:r w:rsidR="0038500A" w:rsidRPr="00453B99">
        <w:rPr>
          <w:b/>
          <w:bCs/>
        </w:rPr>
        <w:t>2 days</w:t>
      </w:r>
      <w:r w:rsidR="00650546">
        <w:t xml:space="preserve"> – led by consultant with support of Gender Co-ordinator)</w:t>
      </w:r>
    </w:p>
    <w:p w14:paraId="756AFA44" w14:textId="4EB64B2D" w:rsidR="0074018A" w:rsidRDefault="00B44725" w:rsidP="0039492A">
      <w:pPr>
        <w:numPr>
          <w:ilvl w:val="0"/>
          <w:numId w:val="12"/>
        </w:numPr>
        <w:spacing w:after="0"/>
      </w:pPr>
      <w:r>
        <w:t>Data Collection</w:t>
      </w:r>
      <w:r w:rsidR="00AA315E" w:rsidRPr="0039492A">
        <w:t xml:space="preserve">: </w:t>
      </w:r>
      <w:r w:rsidR="005B7683">
        <w:t xml:space="preserve">methodology to be developed by the </w:t>
      </w:r>
      <w:r w:rsidR="00D13BEC">
        <w:t xml:space="preserve">consultant </w:t>
      </w:r>
      <w:r w:rsidR="009C79A4">
        <w:t>and agreed</w:t>
      </w:r>
      <w:r w:rsidR="00D13BEC">
        <w:t xml:space="preserve"> with the ActionAid Ireland Programme Team.</w:t>
      </w:r>
      <w:r w:rsidR="00B53FDB">
        <w:t xml:space="preserve"> </w:t>
      </w:r>
      <w:r w:rsidR="00563362">
        <w:t>(</w:t>
      </w:r>
      <w:r w:rsidR="00563362">
        <w:rPr>
          <w:b/>
          <w:bCs/>
        </w:rPr>
        <w:t>3</w:t>
      </w:r>
      <w:r w:rsidR="00F34882">
        <w:rPr>
          <w:b/>
          <w:bCs/>
        </w:rPr>
        <w:t xml:space="preserve"> </w:t>
      </w:r>
      <w:r w:rsidR="0011002F">
        <w:rPr>
          <w:b/>
          <w:bCs/>
        </w:rPr>
        <w:t xml:space="preserve">-4 </w:t>
      </w:r>
      <w:r w:rsidR="00563362" w:rsidRPr="00563362">
        <w:rPr>
          <w:b/>
          <w:bCs/>
        </w:rPr>
        <w:t>days</w:t>
      </w:r>
      <w:r w:rsidR="00563362">
        <w:t>)</w:t>
      </w:r>
    </w:p>
    <w:p w14:paraId="297AB17B" w14:textId="1C63C141" w:rsidR="00F76DE1" w:rsidRDefault="00B53FDB" w:rsidP="0039492A">
      <w:pPr>
        <w:numPr>
          <w:ilvl w:val="0"/>
          <w:numId w:val="12"/>
        </w:numPr>
        <w:spacing w:after="0"/>
      </w:pPr>
      <w:r>
        <w:t xml:space="preserve">The delivery of the </w:t>
      </w:r>
      <w:r w:rsidR="00773102">
        <w:t xml:space="preserve">data collection will be done by </w:t>
      </w:r>
      <w:r w:rsidR="00D052A4">
        <w:t xml:space="preserve">teams in </w:t>
      </w:r>
      <w:r w:rsidR="009C79A4">
        <w:t>country,</w:t>
      </w:r>
      <w:r w:rsidR="00D052A4">
        <w:t xml:space="preserve"> but the consultant will be responsible for developing </w:t>
      </w:r>
      <w:r w:rsidR="00F76DE1">
        <w:t xml:space="preserve">the tools and providing guidance and </w:t>
      </w:r>
      <w:r w:rsidR="007C260B">
        <w:t>online</w:t>
      </w:r>
      <w:r w:rsidR="00F76DE1">
        <w:t xml:space="preserve"> </w:t>
      </w:r>
      <w:r w:rsidR="0074018A">
        <w:t xml:space="preserve">training and </w:t>
      </w:r>
      <w:r w:rsidR="00F76DE1">
        <w:t xml:space="preserve">support. </w:t>
      </w:r>
    </w:p>
    <w:p w14:paraId="24CE4F46" w14:textId="0AA9FEA8" w:rsidR="005B7683" w:rsidRDefault="00F76DE1" w:rsidP="00A92FBC">
      <w:pPr>
        <w:spacing w:after="0"/>
        <w:ind w:left="720"/>
      </w:pPr>
      <w:r w:rsidRPr="007B3BB1">
        <w:rPr>
          <w:u w:val="single"/>
        </w:rPr>
        <w:t>Data Collection can potentially be</w:t>
      </w:r>
      <w:r>
        <w:t>:</w:t>
      </w:r>
      <w:r w:rsidR="00B27BF8">
        <w:t xml:space="preserve"> </w:t>
      </w:r>
    </w:p>
    <w:p w14:paraId="568C71DB" w14:textId="715D3DEC" w:rsidR="00AA315E" w:rsidRPr="003F1A64" w:rsidRDefault="005B7683" w:rsidP="0039492A">
      <w:pPr>
        <w:numPr>
          <w:ilvl w:val="0"/>
          <w:numId w:val="12"/>
        </w:numPr>
        <w:spacing w:after="0"/>
        <w:rPr>
          <w:i/>
          <w:iCs/>
        </w:rPr>
      </w:pPr>
      <w:r w:rsidRPr="003F1A64">
        <w:rPr>
          <w:i/>
          <w:iCs/>
        </w:rPr>
        <w:t>S</w:t>
      </w:r>
      <w:r w:rsidR="00AA315E" w:rsidRPr="003F1A64">
        <w:rPr>
          <w:i/>
          <w:iCs/>
        </w:rPr>
        <w:t>hort interviews/discussions with staff</w:t>
      </w:r>
      <w:r w:rsidR="005B3414" w:rsidRPr="003F1A64">
        <w:rPr>
          <w:i/>
          <w:iCs/>
        </w:rPr>
        <w:t>, partners</w:t>
      </w:r>
      <w:r w:rsidR="003F1A64" w:rsidRPr="003F1A64">
        <w:rPr>
          <w:i/>
          <w:iCs/>
        </w:rPr>
        <w:t xml:space="preserve"> and ideally service providers</w:t>
      </w:r>
      <w:r w:rsidR="00AA315E" w:rsidRPr="003F1A64">
        <w:rPr>
          <w:i/>
          <w:iCs/>
        </w:rPr>
        <w:t>.</w:t>
      </w:r>
      <w:r w:rsidR="0038500A" w:rsidRPr="003F1A64">
        <w:rPr>
          <w:i/>
          <w:iCs/>
        </w:rPr>
        <w:t xml:space="preserve"> (</w:t>
      </w:r>
      <w:r w:rsidR="001E727B" w:rsidRPr="003F1A64">
        <w:rPr>
          <w:i/>
          <w:iCs/>
        </w:rPr>
        <w:t>Developed by consultant - s</w:t>
      </w:r>
      <w:r w:rsidR="0038500A" w:rsidRPr="003F1A64">
        <w:rPr>
          <w:i/>
          <w:iCs/>
        </w:rPr>
        <w:t>taff to guide</w:t>
      </w:r>
      <w:r w:rsidR="00E20C19" w:rsidRPr="003F1A64">
        <w:rPr>
          <w:i/>
          <w:iCs/>
        </w:rPr>
        <w:t xml:space="preserve"> discussions with partners)</w:t>
      </w:r>
      <w:r w:rsidR="00415BB5" w:rsidRPr="003F1A64">
        <w:rPr>
          <w:i/>
          <w:iCs/>
        </w:rPr>
        <w:t xml:space="preserve"> (</w:t>
      </w:r>
      <w:r w:rsidR="005C25D2" w:rsidRPr="003F1A64">
        <w:rPr>
          <w:i/>
          <w:iCs/>
        </w:rPr>
        <w:t>1.5</w:t>
      </w:r>
      <w:r w:rsidR="00415BB5" w:rsidRPr="003F1A64">
        <w:rPr>
          <w:i/>
          <w:iCs/>
        </w:rPr>
        <w:t xml:space="preserve"> days) </w:t>
      </w:r>
    </w:p>
    <w:p w14:paraId="1FB3A0B0" w14:textId="28259F10" w:rsidR="00650546" w:rsidRDefault="00AA315E" w:rsidP="005C25D2">
      <w:pPr>
        <w:numPr>
          <w:ilvl w:val="0"/>
          <w:numId w:val="12"/>
        </w:numPr>
        <w:spacing w:after="0"/>
        <w:rPr>
          <w:i/>
          <w:iCs/>
        </w:rPr>
      </w:pPr>
      <w:r w:rsidRPr="003F1A64">
        <w:rPr>
          <w:i/>
          <w:iCs/>
        </w:rPr>
        <w:t xml:space="preserve">Focus Group Discussions (FGDs): </w:t>
      </w:r>
      <w:r w:rsidR="00E65654" w:rsidRPr="003F1A64">
        <w:rPr>
          <w:i/>
          <w:iCs/>
        </w:rPr>
        <w:t xml:space="preserve">Consultant to guide staff/partners to conduct </w:t>
      </w:r>
      <w:r w:rsidRPr="003F1A64">
        <w:rPr>
          <w:i/>
          <w:iCs/>
        </w:rPr>
        <w:t>sessions with survivors, women’s groups and stakeholders</w:t>
      </w:r>
      <w:r w:rsidR="00461EC5" w:rsidRPr="003F1A64">
        <w:rPr>
          <w:i/>
          <w:iCs/>
        </w:rPr>
        <w:t>. (</w:t>
      </w:r>
      <w:r w:rsidR="005C25D2" w:rsidRPr="003F1A64">
        <w:rPr>
          <w:i/>
          <w:iCs/>
        </w:rPr>
        <w:t>1.5</w:t>
      </w:r>
      <w:r w:rsidR="00461EC5" w:rsidRPr="003F1A64">
        <w:rPr>
          <w:i/>
          <w:iCs/>
        </w:rPr>
        <w:t xml:space="preserve"> days)</w:t>
      </w:r>
    </w:p>
    <w:p w14:paraId="24F99087" w14:textId="16739FA4" w:rsidR="003F1A64" w:rsidRPr="003F1A64" w:rsidRDefault="003F1A64" w:rsidP="005C25D2">
      <w:pPr>
        <w:numPr>
          <w:ilvl w:val="0"/>
          <w:numId w:val="12"/>
        </w:numPr>
        <w:spacing w:after="0"/>
        <w:rPr>
          <w:i/>
          <w:iCs/>
        </w:rPr>
      </w:pPr>
      <w:r>
        <w:rPr>
          <w:i/>
          <w:iCs/>
        </w:rPr>
        <w:t>An alternative participatory approach w</w:t>
      </w:r>
      <w:r w:rsidR="006D5275">
        <w:rPr>
          <w:i/>
          <w:iCs/>
        </w:rPr>
        <w:t xml:space="preserve">here the perspective of survivors is assessed through </w:t>
      </w:r>
      <w:r w:rsidR="007C260B">
        <w:rPr>
          <w:i/>
          <w:iCs/>
        </w:rPr>
        <w:t xml:space="preserve">consultative forums and their experiences assessed. </w:t>
      </w:r>
      <w:r w:rsidR="004275BD">
        <w:rPr>
          <w:i/>
          <w:iCs/>
        </w:rPr>
        <w:t>(</w:t>
      </w:r>
      <w:r w:rsidR="00A92FBC">
        <w:rPr>
          <w:i/>
          <w:iCs/>
        </w:rPr>
        <w:t>1.5</w:t>
      </w:r>
      <w:r w:rsidR="00B27BF8">
        <w:rPr>
          <w:i/>
          <w:iCs/>
        </w:rPr>
        <w:t xml:space="preserve"> days</w:t>
      </w:r>
      <w:r w:rsidR="00A92FBC">
        <w:rPr>
          <w:i/>
          <w:iCs/>
        </w:rPr>
        <w:t xml:space="preserve"> as alternative to focus groups and interviews</w:t>
      </w:r>
      <w:r w:rsidR="00B27BF8">
        <w:rPr>
          <w:i/>
          <w:iCs/>
        </w:rPr>
        <w:t>)</w:t>
      </w:r>
    </w:p>
    <w:p w14:paraId="05BA2C55" w14:textId="77777777" w:rsidR="003F1A64" w:rsidRPr="0039492A" w:rsidRDefault="003F1A64" w:rsidP="003F1A64">
      <w:pPr>
        <w:spacing w:after="0"/>
      </w:pPr>
    </w:p>
    <w:p w14:paraId="341D5A5C" w14:textId="5989CC6F" w:rsidR="00AA315E" w:rsidRPr="0039492A" w:rsidRDefault="005C25D2" w:rsidP="0039492A">
      <w:pPr>
        <w:numPr>
          <w:ilvl w:val="0"/>
          <w:numId w:val="12"/>
        </w:numPr>
        <w:spacing w:after="0"/>
      </w:pPr>
      <w:r>
        <w:t xml:space="preserve">Review/Analysis of Data and </w:t>
      </w:r>
      <w:r w:rsidR="00AA315E" w:rsidRPr="0039492A">
        <w:t>Reflection Sessions: Internal workshops to validate findings and lessons</w:t>
      </w:r>
      <w:r w:rsidR="00461EC5">
        <w:t xml:space="preserve"> and staff/partner validation with the communities.</w:t>
      </w:r>
      <w:r w:rsidR="003E0C69">
        <w:t xml:space="preserve"> (</w:t>
      </w:r>
      <w:r w:rsidR="003E0C69" w:rsidRPr="00563362">
        <w:rPr>
          <w:b/>
          <w:bCs/>
        </w:rPr>
        <w:t>2</w:t>
      </w:r>
      <w:r w:rsidR="003E0C69">
        <w:t>)</w:t>
      </w:r>
    </w:p>
    <w:p w14:paraId="65203B69" w14:textId="39507762" w:rsidR="00AA315E" w:rsidRDefault="00AA315E" w:rsidP="0039492A">
      <w:pPr>
        <w:numPr>
          <w:ilvl w:val="0"/>
          <w:numId w:val="12"/>
        </w:numPr>
        <w:spacing w:after="0"/>
      </w:pPr>
      <w:r w:rsidRPr="0039492A">
        <w:t>Drafting &amp; Peer Review: Development of the learning brief</w:t>
      </w:r>
      <w:r w:rsidR="00C171D4">
        <w:t>. (</w:t>
      </w:r>
      <w:r w:rsidR="00C171D4" w:rsidRPr="00563362">
        <w:rPr>
          <w:b/>
          <w:bCs/>
        </w:rPr>
        <w:t>2</w:t>
      </w:r>
      <w:r w:rsidR="00A92FBC" w:rsidRPr="00563362">
        <w:rPr>
          <w:b/>
          <w:bCs/>
        </w:rPr>
        <w:t>-3</w:t>
      </w:r>
      <w:r w:rsidR="00C171D4">
        <w:t>)</w:t>
      </w:r>
    </w:p>
    <w:p w14:paraId="41D22BEF" w14:textId="4445BFDC" w:rsidR="00847CBF" w:rsidRPr="00B27BF8" w:rsidRDefault="00847CBF" w:rsidP="0039492A">
      <w:pPr>
        <w:numPr>
          <w:ilvl w:val="0"/>
          <w:numId w:val="12"/>
        </w:numPr>
        <w:spacing w:after="0"/>
      </w:pPr>
      <w:r w:rsidRPr="00B27BF8">
        <w:t>Presentation, finalisation and typesetting of report (</w:t>
      </w:r>
      <w:r w:rsidRPr="00563362">
        <w:rPr>
          <w:b/>
          <w:bCs/>
        </w:rPr>
        <w:t>1</w:t>
      </w:r>
      <w:r w:rsidRPr="00B27BF8">
        <w:t>)</w:t>
      </w:r>
    </w:p>
    <w:p w14:paraId="045EA26E" w14:textId="77777777" w:rsidR="00B202C9" w:rsidRDefault="00B202C9" w:rsidP="00B202C9">
      <w:pPr>
        <w:spacing w:after="0"/>
      </w:pPr>
    </w:p>
    <w:p w14:paraId="065B9F87" w14:textId="6891C959" w:rsidR="00B202C9" w:rsidRDefault="00B202C9" w:rsidP="00B202C9">
      <w:pPr>
        <w:spacing w:after="0"/>
      </w:pPr>
      <w:r w:rsidRPr="00F72BD0">
        <w:rPr>
          <w:b/>
          <w:bCs/>
        </w:rPr>
        <w:t>Note:</w:t>
      </w:r>
      <w:r>
        <w:t xml:space="preserve"> Ethical considerations such as consent, confidentiality and safeguarding </w:t>
      </w:r>
      <w:r w:rsidR="00732A32">
        <w:t>must be</w:t>
      </w:r>
      <w:r>
        <w:t xml:space="preserve"> considered when working with survivors</w:t>
      </w:r>
      <w:r w:rsidR="00B328AE">
        <w:t xml:space="preserve"> and will inform the methodo</w:t>
      </w:r>
      <w:r w:rsidR="00136E07">
        <w:t>logy.</w:t>
      </w:r>
    </w:p>
    <w:p w14:paraId="4006C958" w14:textId="6FD311AA" w:rsidR="002B1876" w:rsidRDefault="002B1876" w:rsidP="00B202C9">
      <w:pPr>
        <w:spacing w:after="0"/>
      </w:pPr>
      <w:r>
        <w:t xml:space="preserve">The report will be supported by the ActionAid Ireland Gender Co-ordinator and country teams. </w:t>
      </w:r>
    </w:p>
    <w:p w14:paraId="01626BF8" w14:textId="77777777" w:rsidR="00FB5662" w:rsidRDefault="00FB5662" w:rsidP="00FB5662">
      <w:pPr>
        <w:spacing w:after="0"/>
      </w:pPr>
    </w:p>
    <w:p w14:paraId="74968E87" w14:textId="42B11CDF" w:rsidR="005179C0" w:rsidRPr="009C317C" w:rsidRDefault="005F5757" w:rsidP="00566747">
      <w:pPr>
        <w:spacing w:after="0"/>
        <w:rPr>
          <w:b/>
          <w:bCs/>
        </w:rPr>
      </w:pPr>
      <w:r>
        <w:rPr>
          <w:b/>
          <w:bCs/>
        </w:rPr>
        <w:t xml:space="preserve">5. </w:t>
      </w:r>
      <w:r w:rsidR="00566747" w:rsidRPr="009C317C">
        <w:rPr>
          <w:b/>
          <w:bCs/>
        </w:rPr>
        <w:t>Requirements:</w:t>
      </w:r>
    </w:p>
    <w:p w14:paraId="76D992D3" w14:textId="6CFC6C3D" w:rsidR="0010508A" w:rsidRDefault="00566747" w:rsidP="00566747">
      <w:pPr>
        <w:spacing w:after="0"/>
      </w:pPr>
      <w:r>
        <w:t>A consultant</w:t>
      </w:r>
      <w:r w:rsidR="00A31308">
        <w:t xml:space="preserve"> is </w:t>
      </w:r>
      <w:r w:rsidR="006C00DF">
        <w:t>sought with the following skills and experience:</w:t>
      </w:r>
    </w:p>
    <w:p w14:paraId="3C792C65" w14:textId="51B6944C" w:rsidR="006C00DF" w:rsidRDefault="00DC45A8" w:rsidP="006C00DF">
      <w:pPr>
        <w:pStyle w:val="ListParagraph"/>
        <w:numPr>
          <w:ilvl w:val="0"/>
          <w:numId w:val="22"/>
        </w:numPr>
        <w:spacing w:after="0"/>
      </w:pPr>
      <w:r>
        <w:t xml:space="preserve">Extensive experience and knowledge of </w:t>
      </w:r>
      <w:r w:rsidR="004C1907">
        <w:t>gender-based</w:t>
      </w:r>
      <w:r>
        <w:t xml:space="preserve"> violence programming and </w:t>
      </w:r>
      <w:r w:rsidR="00947A78">
        <w:t xml:space="preserve">survivor centred/led approaches </w:t>
      </w:r>
    </w:p>
    <w:p w14:paraId="16AB7E59" w14:textId="78563095" w:rsidR="007A4D7D" w:rsidRDefault="007A4D7D" w:rsidP="006C00DF">
      <w:pPr>
        <w:pStyle w:val="ListParagraph"/>
        <w:numPr>
          <w:ilvl w:val="0"/>
          <w:numId w:val="22"/>
        </w:numPr>
        <w:spacing w:after="0"/>
      </w:pPr>
      <w:r>
        <w:t xml:space="preserve">An excellent working knowledge of </w:t>
      </w:r>
      <w:r w:rsidR="004C1907">
        <w:t>gender transformative approaches</w:t>
      </w:r>
    </w:p>
    <w:p w14:paraId="64B8F6D8" w14:textId="335CEFA0" w:rsidR="00947A78" w:rsidRDefault="00FE2140" w:rsidP="006C00DF">
      <w:pPr>
        <w:pStyle w:val="ListParagraph"/>
        <w:numPr>
          <w:ilvl w:val="0"/>
          <w:numId w:val="22"/>
        </w:numPr>
        <w:spacing w:after="0"/>
      </w:pPr>
      <w:r>
        <w:lastRenderedPageBreak/>
        <w:t>Substantial k</w:t>
      </w:r>
      <w:r w:rsidR="00947A78">
        <w:t>nowledge and understanding of international and country level implementation of development programmes</w:t>
      </w:r>
    </w:p>
    <w:p w14:paraId="11A50DC6" w14:textId="3BE2746C" w:rsidR="00947A78" w:rsidRDefault="009C317C" w:rsidP="006C00DF">
      <w:pPr>
        <w:pStyle w:val="ListParagraph"/>
        <w:numPr>
          <w:ilvl w:val="0"/>
          <w:numId w:val="22"/>
        </w:numPr>
        <w:spacing w:after="0"/>
      </w:pPr>
      <w:r w:rsidRPr="0010508A">
        <w:t>Excellent written and verbal communication skills in English</w:t>
      </w:r>
      <w:r>
        <w:t xml:space="preserve"> </w:t>
      </w:r>
      <w:r w:rsidR="00FE2140">
        <w:t>and an ability to write in non-jargon language.</w:t>
      </w:r>
    </w:p>
    <w:p w14:paraId="6B5D674E" w14:textId="2F5E23D2" w:rsidR="00FE2140" w:rsidRDefault="004C1907" w:rsidP="00566747">
      <w:pPr>
        <w:pStyle w:val="ListParagraph"/>
        <w:numPr>
          <w:ilvl w:val="0"/>
          <w:numId w:val="22"/>
        </w:numPr>
        <w:spacing w:after="0"/>
      </w:pPr>
      <w:r w:rsidRPr="00136E07">
        <w:t>Research and analytical skills</w:t>
      </w:r>
    </w:p>
    <w:p w14:paraId="62845191" w14:textId="18EAEBC6" w:rsidR="00A36B79" w:rsidRPr="00136E07" w:rsidRDefault="00A36B79" w:rsidP="00566747">
      <w:pPr>
        <w:pStyle w:val="ListParagraph"/>
        <w:numPr>
          <w:ilvl w:val="0"/>
          <w:numId w:val="22"/>
        </w:numPr>
        <w:spacing w:after="0"/>
      </w:pPr>
      <w:r>
        <w:t>An understanding of the ethical</w:t>
      </w:r>
      <w:r w:rsidR="00B770DC">
        <w:t xml:space="preserve">, risk </w:t>
      </w:r>
      <w:r>
        <w:t>and safety issues related to</w:t>
      </w:r>
      <w:r w:rsidR="00B770DC">
        <w:t xml:space="preserve"> survivors in GBV programming</w:t>
      </w:r>
    </w:p>
    <w:p w14:paraId="39E899C0" w14:textId="4DB989F8" w:rsidR="00566747" w:rsidRDefault="00FE2140" w:rsidP="00566747">
      <w:pPr>
        <w:pStyle w:val="ListParagraph"/>
        <w:numPr>
          <w:ilvl w:val="0"/>
          <w:numId w:val="22"/>
        </w:numPr>
        <w:spacing w:after="0"/>
      </w:pPr>
      <w:r>
        <w:t xml:space="preserve">A knowledge </w:t>
      </w:r>
      <w:r w:rsidR="0010508A" w:rsidRPr="0010508A">
        <w:t xml:space="preserve">of </w:t>
      </w:r>
      <w:r w:rsidR="005F5757">
        <w:t>ActionAid</w:t>
      </w:r>
      <w:r w:rsidR="0010508A" w:rsidRPr="0010508A">
        <w:t xml:space="preserve"> will be an added advantage.</w:t>
      </w:r>
    </w:p>
    <w:p w14:paraId="5D745806" w14:textId="77777777" w:rsidR="0082361A" w:rsidRDefault="0082361A" w:rsidP="0082361A">
      <w:pPr>
        <w:spacing w:after="0"/>
      </w:pPr>
    </w:p>
    <w:p w14:paraId="6F11D207" w14:textId="7E9CED24" w:rsidR="0082361A" w:rsidRDefault="0082361A" w:rsidP="0082361A">
      <w:pPr>
        <w:spacing w:after="0"/>
      </w:pPr>
      <w:r w:rsidRPr="00B33A9A">
        <w:rPr>
          <w:b/>
          <w:bCs/>
        </w:rPr>
        <w:t>Timeline</w:t>
      </w:r>
      <w:r>
        <w:t xml:space="preserve">: To commence </w:t>
      </w:r>
      <w:r w:rsidR="00136E07">
        <w:t>by mid-October</w:t>
      </w:r>
      <w:r>
        <w:t xml:space="preserve"> and to be completed by </w:t>
      </w:r>
      <w:r w:rsidR="008C77B4">
        <w:t>mid-December</w:t>
      </w:r>
      <w:r>
        <w:t xml:space="preserve">. </w:t>
      </w:r>
    </w:p>
    <w:p w14:paraId="0147D654" w14:textId="77777777" w:rsidR="00E26848" w:rsidRDefault="00E26848" w:rsidP="00E26848">
      <w:pPr>
        <w:spacing w:after="0"/>
      </w:pPr>
    </w:p>
    <w:p w14:paraId="61DF1702" w14:textId="77777777" w:rsidR="00E26848" w:rsidRPr="00AA315E" w:rsidRDefault="00E26848" w:rsidP="00E26848">
      <w:pPr>
        <w:rPr>
          <w:b/>
          <w:bCs/>
        </w:rPr>
      </w:pPr>
      <w:r w:rsidRPr="00AA315E">
        <w:rPr>
          <w:b/>
          <w:bCs/>
        </w:rPr>
        <w:t>6. Expected Output</w:t>
      </w:r>
    </w:p>
    <w:p w14:paraId="46828CA8" w14:textId="3EB00DD9" w:rsidR="00E26848" w:rsidRDefault="00E26848" w:rsidP="00E26848">
      <w:r>
        <w:t>A concise, practitioner-friendly Learning Brief (6–8 pages) that documents lessons and recommendations on integrating a survivor-centred approach into gender-transformative programming to address GBV.</w:t>
      </w:r>
      <w:r w:rsidRPr="001E7DDE">
        <w:t xml:space="preserve"> </w:t>
      </w:r>
      <w:r>
        <w:t xml:space="preserve">The document should be visually </w:t>
      </w:r>
      <w:r w:rsidR="00570416">
        <w:t>attractive and accessible</w:t>
      </w:r>
      <w:r w:rsidR="00EF574C">
        <w:t xml:space="preserve">. </w:t>
      </w:r>
    </w:p>
    <w:p w14:paraId="46E88910" w14:textId="77777777" w:rsidR="00E26848" w:rsidRDefault="00E26848" w:rsidP="00E26848">
      <w:pPr>
        <w:spacing w:after="0"/>
      </w:pPr>
    </w:p>
    <w:p w14:paraId="11285412" w14:textId="77777777" w:rsidR="005179C0" w:rsidRDefault="005179C0" w:rsidP="003A3530">
      <w:pPr>
        <w:spacing w:after="0"/>
        <w:sectPr w:rsidR="005179C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69DBF6" w14:textId="77777777" w:rsidR="005179C0" w:rsidRPr="0039492A" w:rsidRDefault="005179C0" w:rsidP="00141541">
      <w:pPr>
        <w:spacing w:after="0"/>
        <w:ind w:left="720"/>
      </w:pPr>
    </w:p>
    <w:p w14:paraId="209409A2" w14:textId="2D90D0B0" w:rsidR="00AA315E" w:rsidRDefault="005F5757" w:rsidP="00AA315E">
      <w:pPr>
        <w:rPr>
          <w:b/>
          <w:bCs/>
        </w:rPr>
      </w:pPr>
      <w:r>
        <w:rPr>
          <w:b/>
          <w:bCs/>
        </w:rPr>
        <w:t>6</w:t>
      </w:r>
      <w:r w:rsidR="00AA315E" w:rsidRPr="7ECAF5F8">
        <w:rPr>
          <w:b/>
          <w:bCs/>
        </w:rPr>
        <w:t xml:space="preserve">. </w:t>
      </w:r>
      <w:r w:rsidR="004F3DDA">
        <w:rPr>
          <w:b/>
          <w:bCs/>
        </w:rPr>
        <w:t xml:space="preserve">Draft </w:t>
      </w:r>
      <w:r w:rsidR="00AA315E" w:rsidRPr="7ECAF5F8">
        <w:rPr>
          <w:b/>
          <w:bCs/>
        </w:rPr>
        <w:t xml:space="preserve">Timeline </w:t>
      </w:r>
      <w:r w:rsidR="004F3DDA">
        <w:rPr>
          <w:b/>
          <w:bCs/>
        </w:rPr>
        <w:t>(to be finalised by consultant)</w:t>
      </w:r>
    </w:p>
    <w:tbl>
      <w:tblPr>
        <w:tblStyle w:val="TableGrid"/>
        <w:tblW w:w="12895" w:type="dxa"/>
        <w:tblLayout w:type="fixed"/>
        <w:tblLook w:val="04A0" w:firstRow="1" w:lastRow="0" w:firstColumn="1" w:lastColumn="0" w:noHBand="0" w:noVBand="1"/>
      </w:tblPr>
      <w:tblGrid>
        <w:gridCol w:w="4105"/>
        <w:gridCol w:w="992"/>
        <w:gridCol w:w="921"/>
        <w:gridCol w:w="24"/>
        <w:gridCol w:w="898"/>
        <w:gridCol w:w="992"/>
        <w:gridCol w:w="993"/>
        <w:gridCol w:w="992"/>
        <w:gridCol w:w="992"/>
        <w:gridCol w:w="993"/>
        <w:gridCol w:w="993"/>
      </w:tblGrid>
      <w:tr w:rsidR="008E389C" w14:paraId="10578960" w14:textId="41E5CCA4" w:rsidTr="00645AB6">
        <w:tc>
          <w:tcPr>
            <w:tcW w:w="4105" w:type="dxa"/>
            <w:vMerge w:val="restart"/>
          </w:tcPr>
          <w:p w14:paraId="79BC31BD" w14:textId="6B4CD320" w:rsidR="008E389C" w:rsidRDefault="008E389C" w:rsidP="00AA315E">
            <w:pPr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1913" w:type="dxa"/>
            <w:gridSpan w:val="2"/>
          </w:tcPr>
          <w:p w14:paraId="6466B197" w14:textId="38D812A5" w:rsidR="008E389C" w:rsidRDefault="008E389C" w:rsidP="00AA315E">
            <w:pPr>
              <w:rPr>
                <w:b/>
                <w:bCs/>
              </w:rPr>
            </w:pPr>
            <w:r>
              <w:rPr>
                <w:b/>
                <w:bCs/>
              </w:rPr>
              <w:t>October</w:t>
            </w:r>
          </w:p>
        </w:tc>
        <w:tc>
          <w:tcPr>
            <w:tcW w:w="3899" w:type="dxa"/>
            <w:gridSpan w:val="5"/>
          </w:tcPr>
          <w:p w14:paraId="1FB0A6BA" w14:textId="0B0F3198" w:rsidR="008E389C" w:rsidRDefault="008E389C" w:rsidP="0085138C">
            <w:pPr>
              <w:ind w:firstLine="720"/>
              <w:rPr>
                <w:b/>
                <w:bCs/>
              </w:rPr>
            </w:pPr>
            <w:r>
              <w:rPr>
                <w:b/>
                <w:bCs/>
              </w:rPr>
              <w:t xml:space="preserve">November </w:t>
            </w:r>
          </w:p>
        </w:tc>
        <w:tc>
          <w:tcPr>
            <w:tcW w:w="2978" w:type="dxa"/>
            <w:gridSpan w:val="3"/>
          </w:tcPr>
          <w:p w14:paraId="27E88898" w14:textId="285648F8" w:rsidR="008E389C" w:rsidRDefault="008E389C" w:rsidP="004F3DDA">
            <w:pPr>
              <w:ind w:firstLine="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December </w:t>
            </w:r>
          </w:p>
        </w:tc>
      </w:tr>
      <w:tr w:rsidR="004F3DDA" w14:paraId="2FB578D6" w14:textId="69E57278" w:rsidTr="008E389C">
        <w:trPr>
          <w:trHeight w:val="687"/>
        </w:trPr>
        <w:tc>
          <w:tcPr>
            <w:tcW w:w="4105" w:type="dxa"/>
            <w:vMerge/>
          </w:tcPr>
          <w:p w14:paraId="031F5DF9" w14:textId="77777777" w:rsidR="004F3DDA" w:rsidRDefault="004F3DDA" w:rsidP="00AA31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564D8EB" w14:textId="69F45A8A" w:rsidR="004F3DDA" w:rsidRDefault="004F3DDA" w:rsidP="00AA315E">
            <w:pPr>
              <w:rPr>
                <w:b/>
                <w:bCs/>
              </w:rPr>
            </w:pPr>
            <w:r>
              <w:rPr>
                <w:b/>
                <w:bCs/>
              </w:rPr>
              <w:t>Week 1</w:t>
            </w:r>
          </w:p>
        </w:tc>
        <w:tc>
          <w:tcPr>
            <w:tcW w:w="945" w:type="dxa"/>
            <w:gridSpan w:val="2"/>
          </w:tcPr>
          <w:p w14:paraId="68E2A9CE" w14:textId="7DBAFE47" w:rsidR="004F3DDA" w:rsidRDefault="004F3DDA" w:rsidP="00AA315E">
            <w:pPr>
              <w:rPr>
                <w:b/>
                <w:bCs/>
              </w:rPr>
            </w:pPr>
            <w:r>
              <w:rPr>
                <w:b/>
                <w:bCs/>
              </w:rPr>
              <w:t>Week 2</w:t>
            </w:r>
          </w:p>
        </w:tc>
        <w:tc>
          <w:tcPr>
            <w:tcW w:w="898" w:type="dxa"/>
          </w:tcPr>
          <w:p w14:paraId="5A992D09" w14:textId="192A6372" w:rsidR="004F3DDA" w:rsidRDefault="004F3DDA" w:rsidP="00AA315E">
            <w:pPr>
              <w:rPr>
                <w:b/>
                <w:bCs/>
              </w:rPr>
            </w:pPr>
            <w:r>
              <w:rPr>
                <w:b/>
                <w:bCs/>
              </w:rPr>
              <w:t>Week 3</w:t>
            </w:r>
          </w:p>
        </w:tc>
        <w:tc>
          <w:tcPr>
            <w:tcW w:w="992" w:type="dxa"/>
          </w:tcPr>
          <w:p w14:paraId="41618D02" w14:textId="022D33A9" w:rsidR="004F3DDA" w:rsidRDefault="004F3DDA" w:rsidP="00AA315E">
            <w:pPr>
              <w:rPr>
                <w:b/>
                <w:bCs/>
              </w:rPr>
            </w:pPr>
            <w:r>
              <w:rPr>
                <w:b/>
                <w:bCs/>
              </w:rPr>
              <w:t>Week 4</w:t>
            </w:r>
          </w:p>
        </w:tc>
        <w:tc>
          <w:tcPr>
            <w:tcW w:w="993" w:type="dxa"/>
          </w:tcPr>
          <w:p w14:paraId="566B5E4A" w14:textId="6034364D" w:rsidR="004F3DDA" w:rsidRDefault="004F3DDA" w:rsidP="00AA315E">
            <w:pPr>
              <w:rPr>
                <w:b/>
                <w:bCs/>
              </w:rPr>
            </w:pPr>
            <w:r>
              <w:rPr>
                <w:b/>
                <w:bCs/>
              </w:rPr>
              <w:t>Week 5</w:t>
            </w:r>
          </w:p>
        </w:tc>
        <w:tc>
          <w:tcPr>
            <w:tcW w:w="992" w:type="dxa"/>
          </w:tcPr>
          <w:p w14:paraId="700D318B" w14:textId="7CB1D173" w:rsidR="004F3DDA" w:rsidRDefault="004F3DDA" w:rsidP="00130033">
            <w:pPr>
              <w:rPr>
                <w:b/>
                <w:bCs/>
              </w:rPr>
            </w:pPr>
            <w:r>
              <w:rPr>
                <w:b/>
                <w:bCs/>
              </w:rPr>
              <w:t>Week 6</w:t>
            </w:r>
          </w:p>
        </w:tc>
        <w:tc>
          <w:tcPr>
            <w:tcW w:w="992" w:type="dxa"/>
          </w:tcPr>
          <w:p w14:paraId="45329A95" w14:textId="329567BD" w:rsidR="004F3DDA" w:rsidRDefault="004F3DDA" w:rsidP="00130033">
            <w:pPr>
              <w:rPr>
                <w:b/>
                <w:bCs/>
              </w:rPr>
            </w:pPr>
            <w:r>
              <w:rPr>
                <w:b/>
                <w:bCs/>
              </w:rPr>
              <w:t>Week 7</w:t>
            </w:r>
          </w:p>
        </w:tc>
        <w:tc>
          <w:tcPr>
            <w:tcW w:w="993" w:type="dxa"/>
          </w:tcPr>
          <w:p w14:paraId="41610DFC" w14:textId="77EBB308" w:rsidR="004F3DDA" w:rsidRDefault="004F3DDA" w:rsidP="00130033">
            <w:pPr>
              <w:rPr>
                <w:b/>
                <w:bCs/>
              </w:rPr>
            </w:pPr>
            <w:r>
              <w:rPr>
                <w:b/>
                <w:bCs/>
              </w:rPr>
              <w:t>Week 8</w:t>
            </w:r>
          </w:p>
        </w:tc>
        <w:tc>
          <w:tcPr>
            <w:tcW w:w="993" w:type="dxa"/>
          </w:tcPr>
          <w:p w14:paraId="666D4AFE" w14:textId="4424674D" w:rsidR="004F3DDA" w:rsidRDefault="004F3DDA" w:rsidP="004800CE">
            <w:pPr>
              <w:rPr>
                <w:b/>
                <w:bCs/>
              </w:rPr>
            </w:pPr>
            <w:r>
              <w:rPr>
                <w:b/>
                <w:bCs/>
              </w:rPr>
              <w:t>Week 9</w:t>
            </w:r>
          </w:p>
        </w:tc>
      </w:tr>
      <w:tr w:rsidR="004F3DDA" w14:paraId="50A5E51B" w14:textId="77777777" w:rsidTr="008E389C">
        <w:tc>
          <w:tcPr>
            <w:tcW w:w="4105" w:type="dxa"/>
            <w:vAlign w:val="center"/>
          </w:tcPr>
          <w:p w14:paraId="5A2BA5DC" w14:textId="6CFAD61E" w:rsidR="004F3DDA" w:rsidRPr="0039492A" w:rsidRDefault="004F3DDA" w:rsidP="00130033">
            <w:r>
              <w:t xml:space="preserve">Document/desk review </w:t>
            </w:r>
          </w:p>
        </w:tc>
        <w:tc>
          <w:tcPr>
            <w:tcW w:w="992" w:type="dxa"/>
            <w:shd w:val="clear" w:color="auto" w:fill="E97132" w:themeFill="accent2"/>
          </w:tcPr>
          <w:p w14:paraId="5786C2D6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45" w:type="dxa"/>
            <w:gridSpan w:val="2"/>
          </w:tcPr>
          <w:p w14:paraId="67ED6461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898" w:type="dxa"/>
          </w:tcPr>
          <w:p w14:paraId="1930D8DF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1FCB19E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56369C44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815BA72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2" w:type="dxa"/>
          </w:tcPr>
          <w:p w14:paraId="449E5472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3" w:type="dxa"/>
          </w:tcPr>
          <w:p w14:paraId="091A79A0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3" w:type="dxa"/>
          </w:tcPr>
          <w:p w14:paraId="6A7098F0" w14:textId="439BC645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</w:tr>
      <w:tr w:rsidR="004F3DDA" w14:paraId="067C8E71" w14:textId="285A5075" w:rsidTr="008E389C">
        <w:tc>
          <w:tcPr>
            <w:tcW w:w="4105" w:type="dxa"/>
            <w:vAlign w:val="center"/>
          </w:tcPr>
          <w:p w14:paraId="4F649CEB" w14:textId="7E3473B8" w:rsidR="004F3DDA" w:rsidRDefault="004F3DDA" w:rsidP="00130033">
            <w:pPr>
              <w:rPr>
                <w:b/>
                <w:bCs/>
              </w:rPr>
            </w:pPr>
            <w:r w:rsidRPr="0039492A">
              <w:t xml:space="preserve">Initial outline </w:t>
            </w:r>
            <w:r>
              <w:t xml:space="preserve">developed and shared with AAI &amp; country teams </w:t>
            </w:r>
          </w:p>
        </w:tc>
        <w:tc>
          <w:tcPr>
            <w:tcW w:w="992" w:type="dxa"/>
            <w:shd w:val="clear" w:color="auto" w:fill="E97132" w:themeFill="accent2"/>
          </w:tcPr>
          <w:p w14:paraId="61E4B2DE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45" w:type="dxa"/>
            <w:gridSpan w:val="2"/>
            <w:shd w:val="clear" w:color="auto" w:fill="E97132" w:themeFill="accent2"/>
          </w:tcPr>
          <w:p w14:paraId="1DAEE423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898" w:type="dxa"/>
          </w:tcPr>
          <w:p w14:paraId="5972E55C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7D5E1AD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533F68DD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2A6B6E8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2" w:type="dxa"/>
          </w:tcPr>
          <w:p w14:paraId="10C3CD35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3" w:type="dxa"/>
          </w:tcPr>
          <w:p w14:paraId="42A42573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3" w:type="dxa"/>
          </w:tcPr>
          <w:p w14:paraId="5B452A65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</w:tr>
      <w:tr w:rsidR="004F3DDA" w14:paraId="746A193C" w14:textId="77777777" w:rsidTr="008E389C">
        <w:tc>
          <w:tcPr>
            <w:tcW w:w="4105" w:type="dxa"/>
            <w:vAlign w:val="center"/>
          </w:tcPr>
          <w:p w14:paraId="6C9C0D9B" w14:textId="689289CD" w:rsidR="004F3DDA" w:rsidRPr="0039492A" w:rsidRDefault="004F3DDA" w:rsidP="00130033">
            <w:r>
              <w:t xml:space="preserve">Methodology &amp; tools finalised incorporating feedback </w:t>
            </w:r>
          </w:p>
        </w:tc>
        <w:tc>
          <w:tcPr>
            <w:tcW w:w="992" w:type="dxa"/>
          </w:tcPr>
          <w:p w14:paraId="39C2DD7C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45" w:type="dxa"/>
            <w:gridSpan w:val="2"/>
          </w:tcPr>
          <w:p w14:paraId="03B7A05D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898" w:type="dxa"/>
            <w:shd w:val="clear" w:color="auto" w:fill="E97132" w:themeFill="accent2"/>
          </w:tcPr>
          <w:p w14:paraId="368FB9BF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2D5A370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18EBCB5E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8E59A29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2" w:type="dxa"/>
          </w:tcPr>
          <w:p w14:paraId="0B57D58A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3" w:type="dxa"/>
          </w:tcPr>
          <w:p w14:paraId="43A7BCEA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3" w:type="dxa"/>
          </w:tcPr>
          <w:p w14:paraId="79F4B5EA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</w:tr>
      <w:tr w:rsidR="004F3DDA" w14:paraId="18306857" w14:textId="4770E824" w:rsidTr="008E389C">
        <w:tc>
          <w:tcPr>
            <w:tcW w:w="4105" w:type="dxa"/>
            <w:vAlign w:val="center"/>
          </w:tcPr>
          <w:p w14:paraId="3575D020" w14:textId="54501550" w:rsidR="004F3DDA" w:rsidRDefault="004F3DDA" w:rsidP="00130033">
            <w:pPr>
              <w:rPr>
                <w:b/>
                <w:bCs/>
              </w:rPr>
            </w:pPr>
            <w:r>
              <w:t xml:space="preserve">Data collection </w:t>
            </w:r>
          </w:p>
        </w:tc>
        <w:tc>
          <w:tcPr>
            <w:tcW w:w="992" w:type="dxa"/>
          </w:tcPr>
          <w:p w14:paraId="03BE2030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45" w:type="dxa"/>
            <w:gridSpan w:val="2"/>
          </w:tcPr>
          <w:p w14:paraId="2FE58CA2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898" w:type="dxa"/>
          </w:tcPr>
          <w:p w14:paraId="1450E95D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E97132" w:themeFill="accent2"/>
          </w:tcPr>
          <w:p w14:paraId="7F154556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E97132" w:themeFill="accent2"/>
          </w:tcPr>
          <w:p w14:paraId="6E11E90E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E97132" w:themeFill="accent2"/>
          </w:tcPr>
          <w:p w14:paraId="40269ED2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2" w:type="dxa"/>
          </w:tcPr>
          <w:p w14:paraId="24A7A4F3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3" w:type="dxa"/>
          </w:tcPr>
          <w:p w14:paraId="4E6FBCC4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3" w:type="dxa"/>
          </w:tcPr>
          <w:p w14:paraId="3889D1B0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</w:tr>
      <w:tr w:rsidR="004F3DDA" w14:paraId="4DC05AAF" w14:textId="5B54D833" w:rsidTr="008E389C">
        <w:tc>
          <w:tcPr>
            <w:tcW w:w="4105" w:type="dxa"/>
            <w:vAlign w:val="center"/>
          </w:tcPr>
          <w:p w14:paraId="79FF7404" w14:textId="32B217F9" w:rsidR="004F3DDA" w:rsidRDefault="004F3DDA" w:rsidP="00130033">
            <w:pPr>
              <w:rPr>
                <w:b/>
                <w:bCs/>
              </w:rPr>
            </w:pPr>
            <w:r>
              <w:t xml:space="preserve">Analysis and draft findings </w:t>
            </w:r>
          </w:p>
        </w:tc>
        <w:tc>
          <w:tcPr>
            <w:tcW w:w="992" w:type="dxa"/>
          </w:tcPr>
          <w:p w14:paraId="5812A7C6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45" w:type="dxa"/>
            <w:gridSpan w:val="2"/>
          </w:tcPr>
          <w:p w14:paraId="5EBB4D8A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898" w:type="dxa"/>
          </w:tcPr>
          <w:p w14:paraId="529A9594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F691E91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4EC6654F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C29703A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E97132" w:themeFill="accent2"/>
          </w:tcPr>
          <w:p w14:paraId="4CC32375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E97132" w:themeFill="accent2"/>
          </w:tcPr>
          <w:p w14:paraId="753416CB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3" w:type="dxa"/>
          </w:tcPr>
          <w:p w14:paraId="59E86FD4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</w:tr>
      <w:tr w:rsidR="004F3DDA" w14:paraId="1E33EEE6" w14:textId="6AE227FD" w:rsidTr="008E389C">
        <w:tc>
          <w:tcPr>
            <w:tcW w:w="4105" w:type="dxa"/>
            <w:vAlign w:val="center"/>
          </w:tcPr>
          <w:p w14:paraId="1864E577" w14:textId="45C371A5" w:rsidR="004F3DDA" w:rsidRDefault="004F3DDA" w:rsidP="00130033">
            <w:pPr>
              <w:rPr>
                <w:b/>
                <w:bCs/>
              </w:rPr>
            </w:pPr>
            <w:r>
              <w:t xml:space="preserve">Validation and revisions </w:t>
            </w:r>
          </w:p>
        </w:tc>
        <w:tc>
          <w:tcPr>
            <w:tcW w:w="992" w:type="dxa"/>
          </w:tcPr>
          <w:p w14:paraId="71C3BFFF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45" w:type="dxa"/>
            <w:gridSpan w:val="2"/>
          </w:tcPr>
          <w:p w14:paraId="7DA99B8F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898" w:type="dxa"/>
          </w:tcPr>
          <w:p w14:paraId="6EC1BBF3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95454FD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534D1D30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065ABE1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2" w:type="dxa"/>
          </w:tcPr>
          <w:p w14:paraId="677FB0BA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E97132" w:themeFill="accent2"/>
          </w:tcPr>
          <w:p w14:paraId="28ABAF2E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E97132" w:themeFill="accent2"/>
          </w:tcPr>
          <w:p w14:paraId="65A037CE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</w:tr>
      <w:tr w:rsidR="004F3DDA" w14:paraId="1C502913" w14:textId="21BBC8B5" w:rsidTr="008E389C">
        <w:tc>
          <w:tcPr>
            <w:tcW w:w="4105" w:type="dxa"/>
            <w:vAlign w:val="center"/>
          </w:tcPr>
          <w:p w14:paraId="17919A43" w14:textId="187D2938" w:rsidR="004F3DDA" w:rsidRDefault="004F3DDA" w:rsidP="00130033">
            <w:pPr>
              <w:rPr>
                <w:b/>
                <w:bCs/>
              </w:rPr>
            </w:pPr>
            <w:r>
              <w:t>Report writing</w:t>
            </w:r>
            <w:r w:rsidRPr="0039492A">
              <w:t xml:space="preserve"> &amp; dissemination</w:t>
            </w:r>
          </w:p>
        </w:tc>
        <w:tc>
          <w:tcPr>
            <w:tcW w:w="992" w:type="dxa"/>
          </w:tcPr>
          <w:p w14:paraId="47D7AAA5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45" w:type="dxa"/>
            <w:gridSpan w:val="2"/>
          </w:tcPr>
          <w:p w14:paraId="37BA5F86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898" w:type="dxa"/>
          </w:tcPr>
          <w:p w14:paraId="03EF5A85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07054B2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406DE2DE" w14:textId="77777777" w:rsidR="004F3DDA" w:rsidRDefault="004F3DDA" w:rsidP="0013003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2A52CF3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2" w:type="dxa"/>
          </w:tcPr>
          <w:p w14:paraId="25BA3900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3" w:type="dxa"/>
          </w:tcPr>
          <w:p w14:paraId="74297CDA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  <w:tc>
          <w:tcPr>
            <w:tcW w:w="993" w:type="dxa"/>
          </w:tcPr>
          <w:p w14:paraId="48B9067F" w14:textId="77777777" w:rsidR="004F3DDA" w:rsidRDefault="004F3DDA" w:rsidP="00130033">
            <w:pPr>
              <w:ind w:firstLine="720"/>
              <w:rPr>
                <w:b/>
                <w:bCs/>
              </w:rPr>
            </w:pPr>
          </w:p>
        </w:tc>
      </w:tr>
    </w:tbl>
    <w:p w14:paraId="62843D48" w14:textId="77777777" w:rsidR="008B6018" w:rsidRDefault="008B6018" w:rsidP="00AA315E">
      <w:pPr>
        <w:rPr>
          <w:b/>
          <w:bCs/>
        </w:rPr>
      </w:pPr>
    </w:p>
    <w:p w14:paraId="28825AEA" w14:textId="38FB1914" w:rsidR="20903E3D" w:rsidRDefault="20903E3D"/>
    <w:p w14:paraId="49845DCC" w14:textId="0FEFA3A4" w:rsidR="20903E3D" w:rsidRDefault="20903E3D"/>
    <w:p w14:paraId="461D7448" w14:textId="092277C1" w:rsidR="008B6018" w:rsidRDefault="008B6018" w:rsidP="00AA315E">
      <w:pPr>
        <w:rPr>
          <w:b/>
          <w:bCs/>
        </w:rPr>
      </w:pPr>
    </w:p>
    <w:sectPr w:rsidR="008B6018" w:rsidSect="005179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D8C"/>
    <w:multiLevelType w:val="multilevel"/>
    <w:tmpl w:val="98DCD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B4351"/>
    <w:multiLevelType w:val="multilevel"/>
    <w:tmpl w:val="68FC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27641"/>
    <w:multiLevelType w:val="multilevel"/>
    <w:tmpl w:val="F972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760C0"/>
    <w:multiLevelType w:val="multilevel"/>
    <w:tmpl w:val="C902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D7B21"/>
    <w:multiLevelType w:val="multilevel"/>
    <w:tmpl w:val="FDDE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030EC"/>
    <w:multiLevelType w:val="multilevel"/>
    <w:tmpl w:val="37E2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7B55E2"/>
    <w:multiLevelType w:val="multilevel"/>
    <w:tmpl w:val="24BCA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9A1282"/>
    <w:multiLevelType w:val="multilevel"/>
    <w:tmpl w:val="9638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641C3"/>
    <w:multiLevelType w:val="multilevel"/>
    <w:tmpl w:val="2D7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092FE4"/>
    <w:multiLevelType w:val="multilevel"/>
    <w:tmpl w:val="EDD8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9D1ED4"/>
    <w:multiLevelType w:val="multilevel"/>
    <w:tmpl w:val="D440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90519"/>
    <w:multiLevelType w:val="multilevel"/>
    <w:tmpl w:val="6F78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CD1F8F"/>
    <w:multiLevelType w:val="hybridMultilevel"/>
    <w:tmpl w:val="99724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636A7"/>
    <w:multiLevelType w:val="multilevel"/>
    <w:tmpl w:val="A542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64C20"/>
    <w:multiLevelType w:val="multilevel"/>
    <w:tmpl w:val="44F4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5F194F"/>
    <w:multiLevelType w:val="multilevel"/>
    <w:tmpl w:val="4864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4C39C5"/>
    <w:multiLevelType w:val="multilevel"/>
    <w:tmpl w:val="0C64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511BAA"/>
    <w:multiLevelType w:val="multilevel"/>
    <w:tmpl w:val="F01A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BB4516"/>
    <w:multiLevelType w:val="multilevel"/>
    <w:tmpl w:val="288E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0C6A65"/>
    <w:multiLevelType w:val="multilevel"/>
    <w:tmpl w:val="EE54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9D2EF5"/>
    <w:multiLevelType w:val="multilevel"/>
    <w:tmpl w:val="7812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E42A37"/>
    <w:multiLevelType w:val="multilevel"/>
    <w:tmpl w:val="8874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631158">
    <w:abstractNumId w:val="13"/>
  </w:num>
  <w:num w:numId="2" w16cid:durableId="1919511774">
    <w:abstractNumId w:val="6"/>
  </w:num>
  <w:num w:numId="3" w16cid:durableId="624390819">
    <w:abstractNumId w:val="11"/>
  </w:num>
  <w:num w:numId="4" w16cid:durableId="571737166">
    <w:abstractNumId w:val="5"/>
  </w:num>
  <w:num w:numId="5" w16cid:durableId="2085566206">
    <w:abstractNumId w:val="9"/>
  </w:num>
  <w:num w:numId="6" w16cid:durableId="700085196">
    <w:abstractNumId w:val="20"/>
  </w:num>
  <w:num w:numId="7" w16cid:durableId="729688536">
    <w:abstractNumId w:val="7"/>
  </w:num>
  <w:num w:numId="8" w16cid:durableId="38286439">
    <w:abstractNumId w:val="19"/>
  </w:num>
  <w:num w:numId="9" w16cid:durableId="1876313555">
    <w:abstractNumId w:val="21"/>
  </w:num>
  <w:num w:numId="10" w16cid:durableId="1393045131">
    <w:abstractNumId w:val="18"/>
  </w:num>
  <w:num w:numId="11" w16cid:durableId="667711436">
    <w:abstractNumId w:val="10"/>
  </w:num>
  <w:num w:numId="12" w16cid:durableId="1429086303">
    <w:abstractNumId w:val="2"/>
  </w:num>
  <w:num w:numId="13" w16cid:durableId="550314839">
    <w:abstractNumId w:val="15"/>
  </w:num>
  <w:num w:numId="14" w16cid:durableId="1435134097">
    <w:abstractNumId w:val="0"/>
  </w:num>
  <w:num w:numId="15" w16cid:durableId="1896157113">
    <w:abstractNumId w:val="8"/>
  </w:num>
  <w:num w:numId="16" w16cid:durableId="2105177341">
    <w:abstractNumId w:val="4"/>
  </w:num>
  <w:num w:numId="17" w16cid:durableId="1055739625">
    <w:abstractNumId w:val="16"/>
  </w:num>
  <w:num w:numId="18" w16cid:durableId="1926912344">
    <w:abstractNumId w:val="1"/>
  </w:num>
  <w:num w:numId="19" w16cid:durableId="1739595241">
    <w:abstractNumId w:val="14"/>
  </w:num>
  <w:num w:numId="20" w16cid:durableId="2102947883">
    <w:abstractNumId w:val="3"/>
  </w:num>
  <w:num w:numId="21" w16cid:durableId="323241225">
    <w:abstractNumId w:val="17"/>
  </w:num>
  <w:num w:numId="22" w16cid:durableId="10658365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5E"/>
    <w:rsid w:val="00020D84"/>
    <w:rsid w:val="000229F5"/>
    <w:rsid w:val="0002672F"/>
    <w:rsid w:val="000729DB"/>
    <w:rsid w:val="0009113D"/>
    <w:rsid w:val="000A6707"/>
    <w:rsid w:val="000B3DD2"/>
    <w:rsid w:val="000D37FC"/>
    <w:rsid w:val="000D53F8"/>
    <w:rsid w:val="000D5454"/>
    <w:rsid w:val="000E65A4"/>
    <w:rsid w:val="000F3FAF"/>
    <w:rsid w:val="0010508A"/>
    <w:rsid w:val="0011002F"/>
    <w:rsid w:val="00130033"/>
    <w:rsid w:val="00136E07"/>
    <w:rsid w:val="00141541"/>
    <w:rsid w:val="00142485"/>
    <w:rsid w:val="0015562C"/>
    <w:rsid w:val="00156E31"/>
    <w:rsid w:val="0017484D"/>
    <w:rsid w:val="00185379"/>
    <w:rsid w:val="00190058"/>
    <w:rsid w:val="00192E0A"/>
    <w:rsid w:val="001B1BBA"/>
    <w:rsid w:val="001B2B3C"/>
    <w:rsid w:val="001C25EA"/>
    <w:rsid w:val="001E727B"/>
    <w:rsid w:val="001E7C63"/>
    <w:rsid w:val="001E7DDE"/>
    <w:rsid w:val="001F39BD"/>
    <w:rsid w:val="001F7E22"/>
    <w:rsid w:val="00201C13"/>
    <w:rsid w:val="00250178"/>
    <w:rsid w:val="00264245"/>
    <w:rsid w:val="00274539"/>
    <w:rsid w:val="00281FD6"/>
    <w:rsid w:val="00287558"/>
    <w:rsid w:val="002B1876"/>
    <w:rsid w:val="002C04C3"/>
    <w:rsid w:val="002C6F95"/>
    <w:rsid w:val="002D7EAB"/>
    <w:rsid w:val="002F445F"/>
    <w:rsid w:val="002F541D"/>
    <w:rsid w:val="00322C5F"/>
    <w:rsid w:val="00326E36"/>
    <w:rsid w:val="003304B5"/>
    <w:rsid w:val="00333C6C"/>
    <w:rsid w:val="00341547"/>
    <w:rsid w:val="00346B98"/>
    <w:rsid w:val="00350367"/>
    <w:rsid w:val="003506AE"/>
    <w:rsid w:val="0035771D"/>
    <w:rsid w:val="00380BED"/>
    <w:rsid w:val="0038312D"/>
    <w:rsid w:val="0038500A"/>
    <w:rsid w:val="00391E3C"/>
    <w:rsid w:val="0039492A"/>
    <w:rsid w:val="003977E2"/>
    <w:rsid w:val="003A0A4C"/>
    <w:rsid w:val="003A3530"/>
    <w:rsid w:val="003A6184"/>
    <w:rsid w:val="003B15D4"/>
    <w:rsid w:val="003B7539"/>
    <w:rsid w:val="003E0C69"/>
    <w:rsid w:val="003E4032"/>
    <w:rsid w:val="003F0718"/>
    <w:rsid w:val="003F1A64"/>
    <w:rsid w:val="00400325"/>
    <w:rsid w:val="00402B3F"/>
    <w:rsid w:val="00415BB5"/>
    <w:rsid w:val="004169D0"/>
    <w:rsid w:val="004275BD"/>
    <w:rsid w:val="00441CF1"/>
    <w:rsid w:val="00453B99"/>
    <w:rsid w:val="00461EC5"/>
    <w:rsid w:val="004800CE"/>
    <w:rsid w:val="00484D77"/>
    <w:rsid w:val="004A097B"/>
    <w:rsid w:val="004A4C06"/>
    <w:rsid w:val="004C1907"/>
    <w:rsid w:val="004C6794"/>
    <w:rsid w:val="004F3DDA"/>
    <w:rsid w:val="0050746E"/>
    <w:rsid w:val="005101D4"/>
    <w:rsid w:val="00515750"/>
    <w:rsid w:val="005179C0"/>
    <w:rsid w:val="00532443"/>
    <w:rsid w:val="00563362"/>
    <w:rsid w:val="00563CA9"/>
    <w:rsid w:val="00566747"/>
    <w:rsid w:val="00570416"/>
    <w:rsid w:val="0057200C"/>
    <w:rsid w:val="00577E1A"/>
    <w:rsid w:val="005A07A7"/>
    <w:rsid w:val="005A75CD"/>
    <w:rsid w:val="005A7F77"/>
    <w:rsid w:val="005B3414"/>
    <w:rsid w:val="005B65A2"/>
    <w:rsid w:val="005B7683"/>
    <w:rsid w:val="005C25D2"/>
    <w:rsid w:val="005C6A47"/>
    <w:rsid w:val="005D2D68"/>
    <w:rsid w:val="005D5A64"/>
    <w:rsid w:val="005F5757"/>
    <w:rsid w:val="006028CB"/>
    <w:rsid w:val="0061042B"/>
    <w:rsid w:val="00611D02"/>
    <w:rsid w:val="006332F9"/>
    <w:rsid w:val="00650546"/>
    <w:rsid w:val="00651E02"/>
    <w:rsid w:val="00652453"/>
    <w:rsid w:val="00682BD8"/>
    <w:rsid w:val="0069517E"/>
    <w:rsid w:val="006A4712"/>
    <w:rsid w:val="006A7670"/>
    <w:rsid w:val="006B3169"/>
    <w:rsid w:val="006C00DF"/>
    <w:rsid w:val="006C64A4"/>
    <w:rsid w:val="006D4269"/>
    <w:rsid w:val="006D5275"/>
    <w:rsid w:val="007167BA"/>
    <w:rsid w:val="007201EC"/>
    <w:rsid w:val="00732A32"/>
    <w:rsid w:val="0074018A"/>
    <w:rsid w:val="007502A0"/>
    <w:rsid w:val="007510A3"/>
    <w:rsid w:val="00773102"/>
    <w:rsid w:val="00780637"/>
    <w:rsid w:val="00781570"/>
    <w:rsid w:val="007A4D7D"/>
    <w:rsid w:val="007B3BB1"/>
    <w:rsid w:val="007C260B"/>
    <w:rsid w:val="007D742C"/>
    <w:rsid w:val="007E3E76"/>
    <w:rsid w:val="008069E5"/>
    <w:rsid w:val="0082361A"/>
    <w:rsid w:val="0084699B"/>
    <w:rsid w:val="008473DC"/>
    <w:rsid w:val="00847CBF"/>
    <w:rsid w:val="0085138C"/>
    <w:rsid w:val="008642CD"/>
    <w:rsid w:val="00880463"/>
    <w:rsid w:val="00893026"/>
    <w:rsid w:val="00893C20"/>
    <w:rsid w:val="008B6018"/>
    <w:rsid w:val="008C77B4"/>
    <w:rsid w:val="008D1595"/>
    <w:rsid w:val="008D3B69"/>
    <w:rsid w:val="008E389C"/>
    <w:rsid w:val="008E7113"/>
    <w:rsid w:val="00915A14"/>
    <w:rsid w:val="00930375"/>
    <w:rsid w:val="00936AC3"/>
    <w:rsid w:val="00947A78"/>
    <w:rsid w:val="009527BB"/>
    <w:rsid w:val="00977F25"/>
    <w:rsid w:val="0098173C"/>
    <w:rsid w:val="0099192E"/>
    <w:rsid w:val="009B3E29"/>
    <w:rsid w:val="009B74F6"/>
    <w:rsid w:val="009C317C"/>
    <w:rsid w:val="009C4ECA"/>
    <w:rsid w:val="009C660A"/>
    <w:rsid w:val="009C79A4"/>
    <w:rsid w:val="009D1066"/>
    <w:rsid w:val="009D2A15"/>
    <w:rsid w:val="009D623B"/>
    <w:rsid w:val="00A01094"/>
    <w:rsid w:val="00A13F58"/>
    <w:rsid w:val="00A27DA0"/>
    <w:rsid w:val="00A31308"/>
    <w:rsid w:val="00A324F1"/>
    <w:rsid w:val="00A36B79"/>
    <w:rsid w:val="00A51E76"/>
    <w:rsid w:val="00A61C0D"/>
    <w:rsid w:val="00A67B0A"/>
    <w:rsid w:val="00A81517"/>
    <w:rsid w:val="00A92FBC"/>
    <w:rsid w:val="00AA315E"/>
    <w:rsid w:val="00AC72C6"/>
    <w:rsid w:val="00AC7631"/>
    <w:rsid w:val="00B04387"/>
    <w:rsid w:val="00B202C9"/>
    <w:rsid w:val="00B21DE9"/>
    <w:rsid w:val="00B27BF8"/>
    <w:rsid w:val="00B328AE"/>
    <w:rsid w:val="00B33A9A"/>
    <w:rsid w:val="00B44725"/>
    <w:rsid w:val="00B53FDB"/>
    <w:rsid w:val="00B65445"/>
    <w:rsid w:val="00B770DC"/>
    <w:rsid w:val="00B77F44"/>
    <w:rsid w:val="00B82255"/>
    <w:rsid w:val="00B84540"/>
    <w:rsid w:val="00BC0198"/>
    <w:rsid w:val="00BD4E94"/>
    <w:rsid w:val="00BE06DC"/>
    <w:rsid w:val="00BE7C20"/>
    <w:rsid w:val="00C171D4"/>
    <w:rsid w:val="00C2718E"/>
    <w:rsid w:val="00C3222C"/>
    <w:rsid w:val="00C46316"/>
    <w:rsid w:val="00C508F9"/>
    <w:rsid w:val="00C519E4"/>
    <w:rsid w:val="00C5295A"/>
    <w:rsid w:val="00C74E73"/>
    <w:rsid w:val="00C7624E"/>
    <w:rsid w:val="00C93E02"/>
    <w:rsid w:val="00C942CC"/>
    <w:rsid w:val="00CC2FF5"/>
    <w:rsid w:val="00CC582B"/>
    <w:rsid w:val="00CD6C1E"/>
    <w:rsid w:val="00D03D0B"/>
    <w:rsid w:val="00D052A4"/>
    <w:rsid w:val="00D13BEC"/>
    <w:rsid w:val="00D17A42"/>
    <w:rsid w:val="00D24A3E"/>
    <w:rsid w:val="00D478CF"/>
    <w:rsid w:val="00D80CDD"/>
    <w:rsid w:val="00D87DCD"/>
    <w:rsid w:val="00D944D7"/>
    <w:rsid w:val="00D97C67"/>
    <w:rsid w:val="00DB3590"/>
    <w:rsid w:val="00DC45A8"/>
    <w:rsid w:val="00DD02FC"/>
    <w:rsid w:val="00DD6BAC"/>
    <w:rsid w:val="00DE0ECC"/>
    <w:rsid w:val="00DF70CF"/>
    <w:rsid w:val="00E002DB"/>
    <w:rsid w:val="00E1575A"/>
    <w:rsid w:val="00E20C19"/>
    <w:rsid w:val="00E26848"/>
    <w:rsid w:val="00E534EA"/>
    <w:rsid w:val="00E540F0"/>
    <w:rsid w:val="00E65654"/>
    <w:rsid w:val="00E67F82"/>
    <w:rsid w:val="00EA07CA"/>
    <w:rsid w:val="00EB3348"/>
    <w:rsid w:val="00EC14B6"/>
    <w:rsid w:val="00EC1612"/>
    <w:rsid w:val="00EC3D11"/>
    <w:rsid w:val="00ED7E84"/>
    <w:rsid w:val="00EF3CEA"/>
    <w:rsid w:val="00EF574C"/>
    <w:rsid w:val="00F1652B"/>
    <w:rsid w:val="00F20FE5"/>
    <w:rsid w:val="00F34882"/>
    <w:rsid w:val="00F417C7"/>
    <w:rsid w:val="00F45612"/>
    <w:rsid w:val="00F53861"/>
    <w:rsid w:val="00F62FAB"/>
    <w:rsid w:val="00F64C58"/>
    <w:rsid w:val="00F65038"/>
    <w:rsid w:val="00F72BD0"/>
    <w:rsid w:val="00F75B95"/>
    <w:rsid w:val="00F76DE1"/>
    <w:rsid w:val="00F8071C"/>
    <w:rsid w:val="00F83CF7"/>
    <w:rsid w:val="00F83F45"/>
    <w:rsid w:val="00F84794"/>
    <w:rsid w:val="00F8759B"/>
    <w:rsid w:val="00F95ED4"/>
    <w:rsid w:val="00F974A3"/>
    <w:rsid w:val="00F9787E"/>
    <w:rsid w:val="00FB5662"/>
    <w:rsid w:val="00FD0F36"/>
    <w:rsid w:val="00FD4A1C"/>
    <w:rsid w:val="00FE2140"/>
    <w:rsid w:val="01B60946"/>
    <w:rsid w:val="02F2690C"/>
    <w:rsid w:val="037E3DE9"/>
    <w:rsid w:val="04355E11"/>
    <w:rsid w:val="05D81B13"/>
    <w:rsid w:val="06B6922C"/>
    <w:rsid w:val="07ABFCF0"/>
    <w:rsid w:val="0A24ADDE"/>
    <w:rsid w:val="0EFF1913"/>
    <w:rsid w:val="0F2AE7EC"/>
    <w:rsid w:val="11094843"/>
    <w:rsid w:val="1128F45C"/>
    <w:rsid w:val="112DF051"/>
    <w:rsid w:val="1156F24B"/>
    <w:rsid w:val="12755C74"/>
    <w:rsid w:val="12E0B23C"/>
    <w:rsid w:val="12E44001"/>
    <w:rsid w:val="12E872C8"/>
    <w:rsid w:val="1301759C"/>
    <w:rsid w:val="16105517"/>
    <w:rsid w:val="17A6B12D"/>
    <w:rsid w:val="1807B176"/>
    <w:rsid w:val="187B462D"/>
    <w:rsid w:val="1A1EE7FA"/>
    <w:rsid w:val="1F71F7F4"/>
    <w:rsid w:val="20903E3D"/>
    <w:rsid w:val="231B666C"/>
    <w:rsid w:val="2736EBFD"/>
    <w:rsid w:val="2987DB7B"/>
    <w:rsid w:val="2D1815B0"/>
    <w:rsid w:val="2DF184C6"/>
    <w:rsid w:val="2E078FA1"/>
    <w:rsid w:val="30319F40"/>
    <w:rsid w:val="31796B16"/>
    <w:rsid w:val="32B3261F"/>
    <w:rsid w:val="36F2C8AE"/>
    <w:rsid w:val="39BE19F4"/>
    <w:rsid w:val="3A841BC4"/>
    <w:rsid w:val="3B10F7A5"/>
    <w:rsid w:val="3B209DC0"/>
    <w:rsid w:val="3B947CB3"/>
    <w:rsid w:val="3C1214B5"/>
    <w:rsid w:val="3C2D339C"/>
    <w:rsid w:val="3D369A57"/>
    <w:rsid w:val="3D9D6B0E"/>
    <w:rsid w:val="3E306702"/>
    <w:rsid w:val="3E559A8C"/>
    <w:rsid w:val="3F8DCD08"/>
    <w:rsid w:val="408E90A0"/>
    <w:rsid w:val="418BF974"/>
    <w:rsid w:val="41ADD03C"/>
    <w:rsid w:val="41CE6DE3"/>
    <w:rsid w:val="4584831F"/>
    <w:rsid w:val="483AD76A"/>
    <w:rsid w:val="4863A0C8"/>
    <w:rsid w:val="4CC7B61E"/>
    <w:rsid w:val="56800449"/>
    <w:rsid w:val="568708C5"/>
    <w:rsid w:val="5777F7CC"/>
    <w:rsid w:val="59918E3E"/>
    <w:rsid w:val="5A7384DE"/>
    <w:rsid w:val="5BBE278D"/>
    <w:rsid w:val="5D39F9B2"/>
    <w:rsid w:val="5DB63832"/>
    <w:rsid w:val="5F3F8AE5"/>
    <w:rsid w:val="60C58866"/>
    <w:rsid w:val="60C956FD"/>
    <w:rsid w:val="61BBF259"/>
    <w:rsid w:val="6265837D"/>
    <w:rsid w:val="62E37C32"/>
    <w:rsid w:val="633B220F"/>
    <w:rsid w:val="6A9AE0A0"/>
    <w:rsid w:val="6ABB2069"/>
    <w:rsid w:val="6B0ABA96"/>
    <w:rsid w:val="6F0650B8"/>
    <w:rsid w:val="7061F8CE"/>
    <w:rsid w:val="710DDF91"/>
    <w:rsid w:val="744B3432"/>
    <w:rsid w:val="78974F28"/>
    <w:rsid w:val="7B0E94F5"/>
    <w:rsid w:val="7B833F8F"/>
    <w:rsid w:val="7ECAF5F8"/>
    <w:rsid w:val="7FBDD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A47C"/>
  <w15:chartTrackingRefBased/>
  <w15:docId w15:val="{C5E98265-2F1E-43F6-8E60-0AB955B8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GB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15E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15E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15E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A315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A315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A3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1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42B"/>
    <w:rPr>
      <w:b/>
      <w:bCs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3415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finola.finnan@action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c4c1eac-08e8-4be8-836a-443b36469159">
      <Terms xmlns="http://schemas.microsoft.com/office/infopath/2007/PartnerControls"/>
    </lcf76f155ced4ddcb4097134ff3c332f>
    <_ip_UnifiedCompliancePolicyProperties xmlns="http://schemas.microsoft.com/sharepoint/v3" xsi:nil="true"/>
    <TaxCatchAll xmlns="2c116a8c-2560-4f4c-ab85-48c64df05a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1267D87635A40AA3D2059F48070E3" ma:contentTypeVersion="22" ma:contentTypeDescription="Create a new document." ma:contentTypeScope="" ma:versionID="f9c60aac022d0f0ca9c5dbbb356eba22">
  <xsd:schema xmlns:xsd="http://www.w3.org/2001/XMLSchema" xmlns:xs="http://www.w3.org/2001/XMLSchema" xmlns:p="http://schemas.microsoft.com/office/2006/metadata/properties" xmlns:ns1="http://schemas.microsoft.com/sharepoint/v3" xmlns:ns2="8c4c1eac-08e8-4be8-836a-443b36469159" xmlns:ns3="2c116a8c-2560-4f4c-ab85-48c64df05a19" targetNamespace="http://schemas.microsoft.com/office/2006/metadata/properties" ma:root="true" ma:fieldsID="9ac41c7608f107a371bb055e8b55ec22" ns1:_="" ns2:_="" ns3:_="">
    <xsd:import namespace="http://schemas.microsoft.com/sharepoint/v3"/>
    <xsd:import namespace="8c4c1eac-08e8-4be8-836a-443b36469159"/>
    <xsd:import namespace="2c116a8c-2560-4f4c-ab85-48c64df05a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c1eac-08e8-4be8-836a-443b3646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300e56-6eb0-4d21-9582-721b83a3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16a8c-2560-4f4c-ab85-48c64df05a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69b73a-5499-4b57-bacb-bd6923db957b}" ma:internalName="TaxCatchAll" ma:showField="CatchAllData" ma:web="2c116a8c-2560-4f4c-ab85-48c64df05a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3CC61-7546-4376-95D4-B88A6FE6AD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4c1eac-08e8-4be8-836a-443b36469159"/>
    <ds:schemaRef ds:uri="2c116a8c-2560-4f4c-ab85-48c64df05a19"/>
  </ds:schemaRefs>
</ds:datastoreItem>
</file>

<file path=customXml/itemProps2.xml><?xml version="1.0" encoding="utf-8"?>
<ds:datastoreItem xmlns:ds="http://schemas.openxmlformats.org/officeDocument/2006/customXml" ds:itemID="{8A172ED8-04F9-4F0F-8C6B-7C57E58B3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16592-9D0C-4A18-9D16-D8A95D9BF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4c1eac-08e8-4be8-836a-443b36469159"/>
    <ds:schemaRef ds:uri="2c116a8c-2560-4f4c-ab85-48c64df05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39B91-A07E-43FF-8C88-0ACDE9C7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1128</Words>
  <Characters>6433</Characters>
  <Application>Microsoft Office Word</Application>
  <DocSecurity>0</DocSecurity>
  <Lines>53</Lines>
  <Paragraphs>15</Paragraphs>
  <ScaleCrop>false</ScaleCrop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 Lama Karki</dc:creator>
  <cp:keywords/>
  <dc:description/>
  <cp:lastModifiedBy>Finola Finnan</cp:lastModifiedBy>
  <cp:revision>93</cp:revision>
  <dcterms:created xsi:type="dcterms:W3CDTF">2025-09-23T17:01:00Z</dcterms:created>
  <dcterms:modified xsi:type="dcterms:W3CDTF">2025-10-06T09:57:00Z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0x010100DCA1267D87635A40AA3D2059F48070E3</vt:lpwstr>
  </property>
  <property fmtid="{D5CDD505-2E9C-101B-9397-08002B2CF9AE}" pid="3" name="MediaServiceImageTags">
    <vt:lpwstr/>
  </property>
</Properties>
</file>